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DCB8" w14:textId="77777777" w:rsidR="001D1D45" w:rsidRDefault="00E371CD">
      <w:pPr>
        <w:jc w:val="center"/>
      </w:pPr>
      <w:r>
        <w:rPr>
          <w:b/>
          <w:sz w:val="40"/>
        </w:rPr>
        <w:t>Emodula Sustainability Strategy 2026–2030</w:t>
      </w:r>
    </w:p>
    <w:p w14:paraId="4B2F61F9" w14:textId="77777777" w:rsidR="001D1D45" w:rsidRDefault="00E371CD">
      <w:pPr>
        <w:pStyle w:val="Body"/>
        <w:jc w:val="center"/>
      </w:pPr>
      <w:r>
        <w:t>Audit‑Ready Controlled Document</w:t>
      </w:r>
    </w:p>
    <w:p w14:paraId="73CE7335" w14:textId="77777777" w:rsidR="001D1D45" w:rsidRDefault="00E371CD">
      <w:r>
        <w:br/>
      </w:r>
    </w:p>
    <w:p w14:paraId="5226ABB8" w14:textId="77777777" w:rsidR="001D1D45" w:rsidRDefault="00E371CD">
      <w:r>
        <w:rPr>
          <w:b/>
        </w:rPr>
        <w:t>Document Control</w:t>
      </w:r>
    </w:p>
    <w:tbl>
      <w:tblPr>
        <w:tblStyle w:val="LightList"/>
        <w:tblW w:w="0" w:type="auto"/>
        <w:tblLook w:val="04A0" w:firstRow="1" w:lastRow="0" w:firstColumn="1" w:lastColumn="0" w:noHBand="0" w:noVBand="1"/>
      </w:tblPr>
      <w:tblGrid>
        <w:gridCol w:w="4975"/>
        <w:gridCol w:w="4977"/>
      </w:tblGrid>
      <w:tr w:rsidR="001D1D45" w14:paraId="7312654E" w14:textId="77777777" w:rsidTr="001D1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3096883D" w14:textId="77777777" w:rsidR="001D1D45" w:rsidRDefault="00E371CD">
            <w:r>
              <w:t>Document Title</w:t>
            </w:r>
          </w:p>
        </w:tc>
        <w:tc>
          <w:tcPr>
            <w:tcW w:w="4986" w:type="dxa"/>
          </w:tcPr>
          <w:p w14:paraId="19F55033" w14:textId="77777777" w:rsidR="001D1D45" w:rsidRDefault="00E371CD">
            <w:pPr>
              <w:cnfStyle w:val="100000000000" w:firstRow="1" w:lastRow="0" w:firstColumn="0" w:lastColumn="0" w:oddVBand="0" w:evenVBand="0" w:oddHBand="0" w:evenHBand="0" w:firstRowFirstColumn="0" w:firstRowLastColumn="0" w:lastRowFirstColumn="0" w:lastRowLastColumn="0"/>
            </w:pPr>
            <w:r>
              <w:t>Emodula Sustainability Strategy 2026–2030</w:t>
            </w:r>
          </w:p>
        </w:tc>
      </w:tr>
      <w:tr w:rsidR="001D1D45" w14:paraId="44E78410" w14:textId="77777777" w:rsidTr="001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23C544B1" w14:textId="77777777" w:rsidR="001D1D45" w:rsidRDefault="00E371CD">
            <w:r>
              <w:t>Document Code</w:t>
            </w:r>
          </w:p>
        </w:tc>
        <w:tc>
          <w:tcPr>
            <w:tcW w:w="4986" w:type="dxa"/>
          </w:tcPr>
          <w:p w14:paraId="61E90EBE" w14:textId="77777777" w:rsidR="001D1D45" w:rsidRDefault="00E371CD">
            <w:pPr>
              <w:cnfStyle w:val="000000100000" w:firstRow="0" w:lastRow="0" w:firstColumn="0" w:lastColumn="0" w:oddVBand="0" w:evenVBand="0" w:oddHBand="1" w:evenHBand="0" w:firstRowFirstColumn="0" w:firstRowLastColumn="0" w:lastRowFirstColumn="0" w:lastRowLastColumn="0"/>
            </w:pPr>
            <w:r>
              <w:t>EMO-GOV-STR-001</w:t>
            </w:r>
          </w:p>
        </w:tc>
      </w:tr>
      <w:tr w:rsidR="001D1D45" w14:paraId="6FFBA985" w14:textId="77777777" w:rsidTr="001D1D45">
        <w:tc>
          <w:tcPr>
            <w:cnfStyle w:val="001000000000" w:firstRow="0" w:lastRow="0" w:firstColumn="1" w:lastColumn="0" w:oddVBand="0" w:evenVBand="0" w:oddHBand="0" w:evenHBand="0" w:firstRowFirstColumn="0" w:firstRowLastColumn="0" w:lastRowFirstColumn="0" w:lastRowLastColumn="0"/>
            <w:tcW w:w="4986" w:type="dxa"/>
          </w:tcPr>
          <w:p w14:paraId="00C22904" w14:textId="77777777" w:rsidR="001D1D45" w:rsidRDefault="00E371CD">
            <w:r>
              <w:t>Version / Status</w:t>
            </w:r>
          </w:p>
        </w:tc>
        <w:tc>
          <w:tcPr>
            <w:tcW w:w="4986" w:type="dxa"/>
          </w:tcPr>
          <w:p w14:paraId="33AC31B5" w14:textId="77777777" w:rsidR="001D1D45" w:rsidRDefault="00E371CD">
            <w:pPr>
              <w:cnfStyle w:val="000000000000" w:firstRow="0" w:lastRow="0" w:firstColumn="0" w:lastColumn="0" w:oddVBand="0" w:evenVBand="0" w:oddHBand="0" w:evenHBand="0" w:firstRowFirstColumn="0" w:firstRowLastColumn="0" w:lastRowFirstColumn="0" w:lastRowLastColumn="0"/>
            </w:pPr>
            <w:r>
              <w:t>___ / CONTROLLED</w:t>
            </w:r>
          </w:p>
        </w:tc>
      </w:tr>
      <w:tr w:rsidR="001D1D45" w14:paraId="28173C0D" w14:textId="77777777" w:rsidTr="001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24A34493" w14:textId="77777777" w:rsidR="001D1D45" w:rsidRDefault="00E371CD">
            <w:r>
              <w:t>Issue Date</w:t>
            </w:r>
          </w:p>
        </w:tc>
        <w:tc>
          <w:tcPr>
            <w:tcW w:w="4986" w:type="dxa"/>
          </w:tcPr>
          <w:p w14:paraId="268A70D4" w14:textId="77777777" w:rsidR="001D1D45" w:rsidRDefault="00E371CD">
            <w:pPr>
              <w:cnfStyle w:val="000000100000" w:firstRow="0" w:lastRow="0" w:firstColumn="0" w:lastColumn="0" w:oddVBand="0" w:evenVBand="0" w:oddHBand="1" w:evenHBand="0" w:firstRowFirstColumn="0" w:firstRowLastColumn="0" w:lastRowFirstColumn="0" w:lastRowLastColumn="0"/>
            </w:pPr>
            <w:r>
              <w:t>___</w:t>
            </w:r>
          </w:p>
        </w:tc>
      </w:tr>
      <w:tr w:rsidR="001D1D45" w14:paraId="5AEB3AFB" w14:textId="77777777" w:rsidTr="001D1D45">
        <w:tc>
          <w:tcPr>
            <w:cnfStyle w:val="001000000000" w:firstRow="0" w:lastRow="0" w:firstColumn="1" w:lastColumn="0" w:oddVBand="0" w:evenVBand="0" w:oddHBand="0" w:evenHBand="0" w:firstRowFirstColumn="0" w:firstRowLastColumn="0" w:lastRowFirstColumn="0" w:lastRowLastColumn="0"/>
            <w:tcW w:w="4986" w:type="dxa"/>
          </w:tcPr>
          <w:p w14:paraId="1E6779B2" w14:textId="77777777" w:rsidR="001D1D45" w:rsidRDefault="00E371CD">
            <w:r>
              <w:t>Prepared by / Reviewed by / Approved by</w:t>
            </w:r>
          </w:p>
        </w:tc>
        <w:tc>
          <w:tcPr>
            <w:tcW w:w="4986" w:type="dxa"/>
          </w:tcPr>
          <w:p w14:paraId="02B45345" w14:textId="77777777" w:rsidR="001D1D45" w:rsidRDefault="00E371CD">
            <w:pPr>
              <w:cnfStyle w:val="000000000000" w:firstRow="0" w:lastRow="0" w:firstColumn="0" w:lastColumn="0" w:oddVBand="0" w:evenVBand="0" w:oddHBand="0" w:evenHBand="0" w:firstRowFirstColumn="0" w:firstRowLastColumn="0" w:lastRowFirstColumn="0" w:lastRowLastColumn="0"/>
            </w:pPr>
            <w:r>
              <w:t>________________ / ________________ / ________________</w:t>
            </w:r>
          </w:p>
        </w:tc>
      </w:tr>
      <w:tr w:rsidR="001D1D45" w14:paraId="580CBD29" w14:textId="77777777" w:rsidTr="001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0D42A2E1" w14:textId="77777777" w:rsidR="001D1D45" w:rsidRDefault="00E371CD">
            <w:r>
              <w:t>Interfaces</w:t>
            </w:r>
          </w:p>
        </w:tc>
        <w:tc>
          <w:tcPr>
            <w:tcW w:w="4986" w:type="dxa"/>
          </w:tcPr>
          <w:p w14:paraId="506F473D" w14:textId="77777777" w:rsidR="001D1D45" w:rsidRDefault="00E371CD">
            <w:pPr>
              <w:cnfStyle w:val="000000100000" w:firstRow="0" w:lastRow="0" w:firstColumn="0" w:lastColumn="0" w:oddVBand="0" w:evenVBand="0" w:oddHBand="1" w:evenHBand="0" w:firstRowFirstColumn="0" w:firstRowLastColumn="0" w:lastRowFirstColumn="0" w:lastRowLastColumn="0"/>
            </w:pPr>
            <w:r>
              <w:t>EMO-GOV-PRO-001 (Document Control); Carbon Reduction Plan (CRP); Net Zero 2050 Framework; WLC Report</w:t>
            </w:r>
          </w:p>
        </w:tc>
      </w:tr>
    </w:tbl>
    <w:p w14:paraId="7BC1AB1A" w14:textId="77777777" w:rsidR="001D1D45" w:rsidRDefault="00E371CD">
      <w:r>
        <w:br/>
      </w:r>
    </w:p>
    <w:p w14:paraId="4FCE0326" w14:textId="77777777" w:rsidR="001D1D45" w:rsidRDefault="00E371CD">
      <w:r>
        <w:rPr>
          <w:b/>
        </w:rPr>
        <w:t>Revision History</w:t>
      </w:r>
    </w:p>
    <w:tbl>
      <w:tblPr>
        <w:tblStyle w:val="LightList"/>
        <w:tblW w:w="0" w:type="auto"/>
        <w:tblLook w:val="04A0" w:firstRow="1" w:lastRow="0" w:firstColumn="1" w:lastColumn="0" w:noHBand="0" w:noVBand="1"/>
      </w:tblPr>
      <w:tblGrid>
        <w:gridCol w:w="1992"/>
        <w:gridCol w:w="1989"/>
        <w:gridCol w:w="1990"/>
        <w:gridCol w:w="1990"/>
        <w:gridCol w:w="1991"/>
      </w:tblGrid>
      <w:tr w:rsidR="001D1D45" w14:paraId="37BD9C46" w14:textId="77777777" w:rsidTr="001D1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2D5BA8A4" w14:textId="77777777" w:rsidR="001D1D45" w:rsidRDefault="00E371CD">
            <w:r>
              <w:t>Version</w:t>
            </w:r>
          </w:p>
        </w:tc>
        <w:tc>
          <w:tcPr>
            <w:tcW w:w="1994" w:type="dxa"/>
          </w:tcPr>
          <w:p w14:paraId="30615B45" w14:textId="77777777" w:rsidR="001D1D45" w:rsidRDefault="00E371CD">
            <w:pPr>
              <w:cnfStyle w:val="100000000000" w:firstRow="1" w:lastRow="0" w:firstColumn="0" w:lastColumn="0" w:oddVBand="0" w:evenVBand="0" w:oddHBand="0" w:evenHBand="0" w:firstRowFirstColumn="0" w:firstRowLastColumn="0" w:lastRowFirstColumn="0" w:lastRowLastColumn="0"/>
            </w:pPr>
            <w:r>
              <w:t>Date</w:t>
            </w:r>
          </w:p>
        </w:tc>
        <w:tc>
          <w:tcPr>
            <w:tcW w:w="1994" w:type="dxa"/>
          </w:tcPr>
          <w:p w14:paraId="21F728AE" w14:textId="77777777" w:rsidR="001D1D45" w:rsidRDefault="00E371CD">
            <w:pPr>
              <w:cnfStyle w:val="100000000000" w:firstRow="1" w:lastRow="0" w:firstColumn="0" w:lastColumn="0" w:oddVBand="0" w:evenVBand="0" w:oddHBand="0" w:evenHBand="0" w:firstRowFirstColumn="0" w:firstRowLastColumn="0" w:lastRowFirstColumn="0" w:lastRowLastColumn="0"/>
            </w:pPr>
            <w:r>
              <w:t>Change</w:t>
            </w:r>
          </w:p>
        </w:tc>
        <w:tc>
          <w:tcPr>
            <w:tcW w:w="1994" w:type="dxa"/>
          </w:tcPr>
          <w:p w14:paraId="21E0610C" w14:textId="77777777" w:rsidR="001D1D45" w:rsidRDefault="00E371CD">
            <w:pPr>
              <w:cnfStyle w:val="100000000000" w:firstRow="1" w:lastRow="0" w:firstColumn="0" w:lastColumn="0" w:oddVBand="0" w:evenVBand="0" w:oddHBand="0" w:evenHBand="0" w:firstRowFirstColumn="0" w:firstRowLastColumn="0" w:lastRowFirstColumn="0" w:lastRowLastColumn="0"/>
            </w:pPr>
            <w:r>
              <w:t>Author</w:t>
            </w:r>
          </w:p>
        </w:tc>
        <w:tc>
          <w:tcPr>
            <w:tcW w:w="1994" w:type="dxa"/>
          </w:tcPr>
          <w:p w14:paraId="37F7C7ED" w14:textId="77777777" w:rsidR="001D1D45" w:rsidRDefault="00E371CD">
            <w:pPr>
              <w:cnfStyle w:val="100000000000" w:firstRow="1" w:lastRow="0" w:firstColumn="0" w:lastColumn="0" w:oddVBand="0" w:evenVBand="0" w:oddHBand="0" w:evenHBand="0" w:firstRowFirstColumn="0" w:firstRowLastColumn="0" w:lastRowFirstColumn="0" w:lastRowLastColumn="0"/>
            </w:pPr>
            <w:r>
              <w:t>Approved By</w:t>
            </w:r>
          </w:p>
        </w:tc>
      </w:tr>
      <w:tr w:rsidR="001D1D45" w14:paraId="13D73616" w14:textId="77777777" w:rsidTr="001D1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002106B8" w14:textId="77777777" w:rsidR="001D1D45" w:rsidRDefault="001D1D45"/>
        </w:tc>
        <w:tc>
          <w:tcPr>
            <w:tcW w:w="1994" w:type="dxa"/>
          </w:tcPr>
          <w:p w14:paraId="0E0B79CB" w14:textId="77777777" w:rsidR="001D1D45" w:rsidRDefault="001D1D45">
            <w:pPr>
              <w:cnfStyle w:val="000000100000" w:firstRow="0" w:lastRow="0" w:firstColumn="0" w:lastColumn="0" w:oddVBand="0" w:evenVBand="0" w:oddHBand="1" w:evenHBand="0" w:firstRowFirstColumn="0" w:firstRowLastColumn="0" w:lastRowFirstColumn="0" w:lastRowLastColumn="0"/>
            </w:pPr>
          </w:p>
        </w:tc>
        <w:tc>
          <w:tcPr>
            <w:tcW w:w="1994" w:type="dxa"/>
          </w:tcPr>
          <w:p w14:paraId="694C1605" w14:textId="77777777" w:rsidR="001D1D45" w:rsidRDefault="001D1D45">
            <w:pPr>
              <w:cnfStyle w:val="000000100000" w:firstRow="0" w:lastRow="0" w:firstColumn="0" w:lastColumn="0" w:oddVBand="0" w:evenVBand="0" w:oddHBand="1" w:evenHBand="0" w:firstRowFirstColumn="0" w:firstRowLastColumn="0" w:lastRowFirstColumn="0" w:lastRowLastColumn="0"/>
            </w:pPr>
          </w:p>
        </w:tc>
        <w:tc>
          <w:tcPr>
            <w:tcW w:w="1994" w:type="dxa"/>
          </w:tcPr>
          <w:p w14:paraId="26F5ABA5" w14:textId="77777777" w:rsidR="001D1D45" w:rsidRDefault="001D1D45">
            <w:pPr>
              <w:cnfStyle w:val="000000100000" w:firstRow="0" w:lastRow="0" w:firstColumn="0" w:lastColumn="0" w:oddVBand="0" w:evenVBand="0" w:oddHBand="1" w:evenHBand="0" w:firstRowFirstColumn="0" w:firstRowLastColumn="0" w:lastRowFirstColumn="0" w:lastRowLastColumn="0"/>
            </w:pPr>
          </w:p>
        </w:tc>
        <w:tc>
          <w:tcPr>
            <w:tcW w:w="1994" w:type="dxa"/>
          </w:tcPr>
          <w:p w14:paraId="39C69F3A" w14:textId="77777777" w:rsidR="001D1D45" w:rsidRDefault="001D1D45">
            <w:pPr>
              <w:cnfStyle w:val="000000100000" w:firstRow="0" w:lastRow="0" w:firstColumn="0" w:lastColumn="0" w:oddVBand="0" w:evenVBand="0" w:oddHBand="1" w:evenHBand="0" w:firstRowFirstColumn="0" w:firstRowLastColumn="0" w:lastRowFirstColumn="0" w:lastRowLastColumn="0"/>
            </w:pPr>
          </w:p>
        </w:tc>
      </w:tr>
    </w:tbl>
    <w:p w14:paraId="42429E71" w14:textId="77777777" w:rsidR="001D1D45" w:rsidRDefault="00E371CD">
      <w:r>
        <w:rPr>
          <w:b/>
        </w:rPr>
        <w:br/>
        <w:t>Table of Contents (insert via Word → References → Table of Contents)</w:t>
      </w:r>
    </w:p>
    <w:p w14:paraId="10C53496" w14:textId="77777777" w:rsidR="001D1D45" w:rsidRDefault="00E371CD">
      <w:pPr>
        <w:pStyle w:val="Heading1"/>
      </w:pPr>
      <w:r>
        <w:t>1) Executive Summary</w:t>
      </w:r>
    </w:p>
    <w:p w14:paraId="787F28AB" w14:textId="77777777" w:rsidR="001D1D45" w:rsidRDefault="00E371CD">
      <w:pPr>
        <w:pStyle w:val="Body"/>
      </w:pPr>
      <w:proofErr w:type="spellStart"/>
      <w:r>
        <w:t>Emodula’s</w:t>
      </w:r>
      <w:proofErr w:type="spellEnd"/>
      <w:r>
        <w:t xml:space="preserve"> Sustainability Strategy sets a disciplined, evidence‑led pathway for achieving Net Zero greenhouse‑gas emissions by 2050 while building circularity, resilience and social value into a compliance‑first modular housing business. The strategy consolidates corporate carbon reduction (Scope 2 electricity and selected Scope 3 categories: employee commuting, cranage/install fuels), project‑level whole‑life carbon (WLC) at module scale (EN 15978 A–C with Module D disclosed separately), governance and assurance, and stakeholder engagement into one auditable plan for 2026–2030. It is aligned to the GHG Protocol, EN 15978 and PAS 2080, and interfaces with </w:t>
      </w:r>
      <w:proofErr w:type="spellStart"/>
      <w:r>
        <w:t>Emodula’s</w:t>
      </w:r>
      <w:proofErr w:type="spellEnd"/>
      <w:r>
        <w:t xml:space="preserve"> Carbon Reduction Plan (CRP), Net Zero 2050 Framework and WLC report. The Strategy translates policy into operational </w:t>
      </w:r>
      <w:proofErr w:type="spellStart"/>
      <w:r>
        <w:t>programmes</w:t>
      </w:r>
      <w:proofErr w:type="spellEnd"/>
      <w:r>
        <w:t xml:space="preserve"> with owners, KPIs and evidential registers, ensuring that reductions are real, traceable and suitable for public tenders and audits.</w:t>
      </w:r>
    </w:p>
    <w:p w14:paraId="41482195" w14:textId="77777777" w:rsidR="001D1D45" w:rsidRDefault="00E371CD">
      <w:pPr>
        <w:pStyle w:val="Heading1"/>
      </w:pPr>
      <w:r>
        <w:t>2) Strategic Context &amp; Materiality</w:t>
      </w:r>
    </w:p>
    <w:p w14:paraId="073D158B" w14:textId="77777777" w:rsidR="001D1D45" w:rsidRDefault="00E371CD">
      <w:pPr>
        <w:pStyle w:val="Body"/>
      </w:pPr>
      <w:r>
        <w:t>Emodula operates in a UK housing market that faces persistent supply deficits and affordability constraints, while the modular sector seeks to restore credibility following recent failures. For Emodula, material sustainability topics arise from (</w:t>
      </w:r>
      <w:proofErr w:type="spellStart"/>
      <w:r>
        <w:t>i</w:t>
      </w:r>
      <w:proofErr w:type="spellEnd"/>
      <w:r>
        <w:t xml:space="preserve">) factory and office electricity; (ii) employee commuting; (iii) site cranage/install fuels; (iv) logistics and use‑phase energy at project level; (v) product durability, recovery and reuse potential at end‑of‑life; and (vi) governance, assurance and transparent public reporting. These topics directly affect delivery risk, cost certainty, evidence requirements in procurement (e.g., CRP expectations), and </w:t>
      </w:r>
      <w:r>
        <w:lastRenderedPageBreak/>
        <w:t xml:space="preserve">client trust. The Strategy </w:t>
      </w:r>
      <w:proofErr w:type="spellStart"/>
      <w:r>
        <w:t>prioritises</w:t>
      </w:r>
      <w:proofErr w:type="spellEnd"/>
      <w:r>
        <w:t xml:space="preserve"> areas with both high impact and high </w:t>
      </w:r>
      <w:proofErr w:type="spellStart"/>
      <w:r>
        <w:t>evidenceability</w:t>
      </w:r>
      <w:proofErr w:type="spellEnd"/>
      <w:r>
        <w:t>, focusing on the abatement hierarchy—avoid, reduce, substitute, recover—before resorting to residual neutrality.</w:t>
      </w:r>
    </w:p>
    <w:p w14:paraId="4D7022C1" w14:textId="77777777" w:rsidR="001D1D45" w:rsidRDefault="00E371CD">
      <w:pPr>
        <w:pStyle w:val="Heading1"/>
      </w:pPr>
      <w:r>
        <w:t>3) Vision, Principles &amp; Objectives</w:t>
      </w:r>
    </w:p>
    <w:p w14:paraId="61F214DC" w14:textId="77777777" w:rsidR="001D1D45" w:rsidRDefault="00E371CD">
      <w:pPr>
        <w:pStyle w:val="Body"/>
      </w:pPr>
      <w:r>
        <w:t xml:space="preserve">Vision: deliver permanent, mortgage‑ready modular homes with lower whole‑life carbon, strong compliance and transparent evidence, contributing to </w:t>
      </w:r>
      <w:proofErr w:type="spellStart"/>
      <w:r>
        <w:t>decarbonisation</w:t>
      </w:r>
      <w:proofErr w:type="spellEnd"/>
      <w:r>
        <w:t xml:space="preserve"> and community outcomes. Principles: policy‑led decision‑making; separation of corporate inventory from project WLC to avoid double counting; openness to innovation that strengthens auditability and performance; preference for removals for residuals only; and document control for consistent, reliable disclosures. Objectives: (1) reduce absolute corporate emissions and intensity per module/m²; (2) measurably lower A4/A5/B6/C stages at project level through design, logistics and operational practices; (3) implement metering, PV and mobility </w:t>
      </w:r>
      <w:proofErr w:type="spellStart"/>
      <w:r>
        <w:t>programmes</w:t>
      </w:r>
      <w:proofErr w:type="spellEnd"/>
      <w:r>
        <w:t xml:space="preserve"> to land near‑term reductions; (4) build a robust evidence base (</w:t>
      </w:r>
      <w:proofErr w:type="spellStart"/>
      <w:r>
        <w:t>Data_Register</w:t>
      </w:r>
      <w:proofErr w:type="spellEnd"/>
      <w:r>
        <w:t xml:space="preserve">, </w:t>
      </w:r>
      <w:proofErr w:type="spellStart"/>
      <w:r>
        <w:t>EF_Sources</w:t>
      </w:r>
      <w:proofErr w:type="spellEnd"/>
      <w:r>
        <w:t>, assurance cadence); (5) maintain credible public CRP and client WLC summaries; and (6) embed governance, roles and RACI to sustain progress.</w:t>
      </w:r>
    </w:p>
    <w:p w14:paraId="1F173874" w14:textId="77777777" w:rsidR="001D1D45" w:rsidRDefault="00E371CD">
      <w:pPr>
        <w:pStyle w:val="Heading1"/>
      </w:pPr>
      <w:r>
        <w:t>4) Scope &amp; Reporting Boundaries</w:t>
      </w:r>
    </w:p>
    <w:p w14:paraId="58DD8FA2" w14:textId="77777777" w:rsidR="001D1D45" w:rsidRDefault="00E371CD">
      <w:pPr>
        <w:pStyle w:val="Body"/>
      </w:pPr>
      <w:proofErr w:type="spellStart"/>
      <w:r>
        <w:t>Organisational</w:t>
      </w:r>
      <w:proofErr w:type="spellEnd"/>
      <w:r>
        <w:t xml:space="preserve"> boundary: operational control covering the all‑electric factory and office in North Lincolnshire. Corporate reporting includes Scope 2 electricity and selected Scope 3 categories (employee commuting; cranage/install fuels). Project‑level reporting assesses module‑scale WLC using EN 15978 A–C with Module D disclosed separately. Electricity is reported location‑based (UK grid factor) alongside market‑based where certificates are available, with both clearly distinguished. This separation prevents double counting and clarifies responsibilities: corporate </w:t>
      </w:r>
      <w:proofErr w:type="spellStart"/>
      <w:r>
        <w:t>programmes</w:t>
      </w:r>
      <w:proofErr w:type="spellEnd"/>
      <w:r>
        <w:t xml:space="preserve"> deliver reductions in Scopes 2/selected 3, while project teams manage WLC at A–C and document recovery routes for Module D.</w:t>
      </w:r>
    </w:p>
    <w:p w14:paraId="46DC1D5B" w14:textId="77777777" w:rsidR="001D1D45" w:rsidRDefault="00E371CD">
      <w:pPr>
        <w:pStyle w:val="Heading1"/>
      </w:pPr>
      <w:r>
        <w:t>5) Baseline &amp; Key Metrics (2026)</w:t>
      </w:r>
    </w:p>
    <w:p w14:paraId="055F0E4B" w14:textId="77777777" w:rsidR="001D1D45" w:rsidRDefault="00E371CD">
      <w:pPr>
        <w:pStyle w:val="Body"/>
      </w:pPr>
      <w:r>
        <w:t xml:space="preserve">Corporate baseline totals: Scope 2 electricity 6,467 </w:t>
      </w:r>
      <w:proofErr w:type="spellStart"/>
      <w:r>
        <w:t>kgCO₂e</w:t>
      </w:r>
      <w:proofErr w:type="spellEnd"/>
      <w:r>
        <w:t xml:space="preserve"> from 27,754 kWh (factory 22,894 kWh; office 4,860 kWh); employee commuting 33,093 </w:t>
      </w:r>
      <w:proofErr w:type="spellStart"/>
      <w:r>
        <w:t>kgCO₂e</w:t>
      </w:r>
      <w:proofErr w:type="spellEnd"/>
      <w:r>
        <w:t xml:space="preserve"> from 183,851 km; cranage/install diesel 5,146 </w:t>
      </w:r>
      <w:proofErr w:type="spellStart"/>
      <w:r>
        <w:t>kgCO₂e</w:t>
      </w:r>
      <w:proofErr w:type="spellEnd"/>
      <w:r>
        <w:t xml:space="preserve"> from 1,920 L. Combined corporate total: 44,706 </w:t>
      </w:r>
      <w:proofErr w:type="spellStart"/>
      <w:r>
        <w:t>kgCO₂e</w:t>
      </w:r>
      <w:proofErr w:type="spellEnd"/>
      <w:r>
        <w:t xml:space="preserve">. Planning throughput 48 modules/year yields intensity ~931 </w:t>
      </w:r>
      <w:proofErr w:type="spellStart"/>
      <w:r>
        <w:t>kgCO₂e</w:t>
      </w:r>
      <w:proofErr w:type="spellEnd"/>
      <w:r>
        <w:t xml:space="preserve">/module; at 40 m²/module intensity is ~23 </w:t>
      </w:r>
      <w:proofErr w:type="spellStart"/>
      <w:r>
        <w:t>kgCO₂e</w:t>
      </w:r>
      <w:proofErr w:type="spellEnd"/>
      <w:r>
        <w:t xml:space="preserve">/m². At module level, WLC shows A4–C subtotal 196,911 </w:t>
      </w:r>
      <w:proofErr w:type="spellStart"/>
      <w:r>
        <w:t>kgCO₂e</w:t>
      </w:r>
      <w:proofErr w:type="spellEnd"/>
      <w:r>
        <w:t xml:space="preserve">, with an example Module D credit −30,190 </w:t>
      </w:r>
      <w:proofErr w:type="spellStart"/>
      <w:r>
        <w:t>kgCO₂e</w:t>
      </w:r>
      <w:proofErr w:type="spellEnd"/>
      <w:r>
        <w:t xml:space="preserve"> yielding 166,721 </w:t>
      </w:r>
      <w:proofErr w:type="spellStart"/>
      <w:r>
        <w:t>kgCO₂e</w:t>
      </w:r>
      <w:proofErr w:type="spellEnd"/>
      <w:r>
        <w:t xml:space="preserve"> including D. The dominant stage is B6 operational energy (169,800 </w:t>
      </w:r>
      <w:proofErr w:type="spellStart"/>
      <w:r>
        <w:t>kgCO₂e</w:t>
      </w:r>
      <w:proofErr w:type="spellEnd"/>
      <w:r>
        <w:t xml:space="preserve"> under a linear grid‑</w:t>
      </w:r>
      <w:proofErr w:type="spellStart"/>
      <w:r>
        <w:t>decarbonisation</w:t>
      </w:r>
      <w:proofErr w:type="spellEnd"/>
      <w:r>
        <w:t xml:space="preserve"> scenario). Baseline data and factors are retained in controlled registers to support dashboards, governance reviews and audits.</w:t>
      </w:r>
    </w:p>
    <w:p w14:paraId="2AB40BBE" w14:textId="77777777" w:rsidR="001D1D45" w:rsidRDefault="00E371CD">
      <w:pPr>
        <w:pStyle w:val="Heading1"/>
      </w:pPr>
      <w:r>
        <w:t>6) Strategic Pillars &amp; Action Plans (2026–2030)</w:t>
      </w:r>
    </w:p>
    <w:p w14:paraId="58335036" w14:textId="77777777" w:rsidR="001D1D45" w:rsidRDefault="00E371CD">
      <w:pPr>
        <w:pStyle w:val="Body"/>
      </w:pPr>
      <w:r>
        <w:t xml:space="preserve">The Strategy converts baselines and boundaries into seven pillars with measures, owners and KPIs. </w:t>
      </w:r>
      <w:proofErr w:type="spellStart"/>
      <w:r>
        <w:t>Programmes</w:t>
      </w:r>
      <w:proofErr w:type="spellEnd"/>
      <w:r>
        <w:t xml:space="preserve"> are sequenced to land near‑term reductions and build capability for deeper </w:t>
      </w:r>
      <w:proofErr w:type="spellStart"/>
      <w:r>
        <w:t>decarbonisation</w:t>
      </w:r>
      <w:proofErr w:type="spellEnd"/>
      <w:r>
        <w:t xml:space="preserve"> and circularity.</w:t>
      </w:r>
    </w:p>
    <w:p w14:paraId="43991FCD" w14:textId="77777777" w:rsidR="001D1D45" w:rsidRDefault="00E371CD">
      <w:pPr>
        <w:pStyle w:val="Body"/>
      </w:pPr>
      <w:r>
        <w:t xml:space="preserve">**Pillar A — Carbon &amp; Energy (Scope 2).** </w:t>
      </w:r>
      <w:r>
        <w:br/>
        <w:t xml:space="preserve">• Metering &amp; sub‑metering: deploy submeters across process lines, lighting, chargers and welfare loads; monthly exports to the </w:t>
      </w:r>
      <w:proofErr w:type="spellStart"/>
      <w:r>
        <w:t>Data_Register</w:t>
      </w:r>
      <w:proofErr w:type="spellEnd"/>
      <w:r>
        <w:t xml:space="preserve">; reconcile to bills (±5% tolerance). </w:t>
      </w:r>
      <w:r>
        <w:br/>
      </w:r>
      <w:r>
        <w:lastRenderedPageBreak/>
        <w:t xml:space="preserve">• Lighting &amp; controls uplift: occupancy/daylight controls and zoning targeting ≥15% lighting kWh reduction. </w:t>
      </w:r>
      <w:r>
        <w:br/>
        <w:t xml:space="preserve">• Plug‑load </w:t>
      </w:r>
      <w:proofErr w:type="spellStart"/>
      <w:r>
        <w:t>optimisation</w:t>
      </w:r>
      <w:proofErr w:type="spellEnd"/>
      <w:r>
        <w:t xml:space="preserve">: tool‑charging SOP; idle‑load </w:t>
      </w:r>
      <w:proofErr w:type="spellStart"/>
      <w:r>
        <w:t>minimisation</w:t>
      </w:r>
      <w:proofErr w:type="spellEnd"/>
      <w:r>
        <w:t xml:space="preserve"> with line‑side visual controls. </w:t>
      </w:r>
      <w:r>
        <w:br/>
        <w:t xml:space="preserve">• On‑site PV Phase 1 and scale‑up: size to daytime base load, integrate inverter telemetry, </w:t>
      </w:r>
      <w:proofErr w:type="spellStart"/>
      <w:r>
        <w:t>prioritise</w:t>
      </w:r>
      <w:proofErr w:type="spellEnd"/>
      <w:r>
        <w:t xml:space="preserve"> self‑consumption; scale with storage after performance review. </w:t>
      </w:r>
      <w:r>
        <w:br/>
        <w:t xml:space="preserve">**Owners:** Sustainability + Facilities (+ Production for </w:t>
      </w:r>
      <w:proofErr w:type="spellStart"/>
      <w:r>
        <w:t>behaviours</w:t>
      </w:r>
      <w:proofErr w:type="spellEnd"/>
      <w:r>
        <w:t xml:space="preserve">). **KPIs:** kWh/month; Scope‑2 </w:t>
      </w:r>
      <w:proofErr w:type="spellStart"/>
      <w:r>
        <w:t>kgCO₂e</w:t>
      </w:r>
      <w:proofErr w:type="spellEnd"/>
      <w:r>
        <w:t>; % loads metered; PV self‑consumption %; non‑process kWh share; variance vs bills. **Evidence:** bills, meter/PV logs, commissioning certificates.</w:t>
      </w:r>
    </w:p>
    <w:p w14:paraId="6465E2CC" w14:textId="77777777" w:rsidR="001D1D45" w:rsidRDefault="00E371CD">
      <w:pPr>
        <w:pStyle w:val="Body"/>
      </w:pPr>
      <w:r>
        <w:t xml:space="preserve">**Pillar B — Mobility (Employee commuting, selected Scope 3).** </w:t>
      </w:r>
      <w:r>
        <w:br/>
        <w:t xml:space="preserve">• Verified car‑share: formal pods with preferred parking; privacy‑by‑design reporting. </w:t>
      </w:r>
      <w:r>
        <w:br/>
        <w:t xml:space="preserve">• Workplace EV charging: smart chargers linked to PV; </w:t>
      </w:r>
      <w:proofErr w:type="spellStart"/>
      <w:r>
        <w:t>utilisation</w:t>
      </w:r>
      <w:proofErr w:type="spellEnd"/>
      <w:r>
        <w:t xml:space="preserve"> and kWh tracked. </w:t>
      </w:r>
      <w:r>
        <w:br/>
        <w:t xml:space="preserve">• Shift </w:t>
      </w:r>
      <w:proofErr w:type="spellStart"/>
      <w:r>
        <w:t>optimisation</w:t>
      </w:r>
      <w:proofErr w:type="spellEnd"/>
      <w:r>
        <w:t xml:space="preserve">: staggered starts to enable share routes and reduce congestion. </w:t>
      </w:r>
      <w:r>
        <w:br/>
        <w:t xml:space="preserve">• Quarterly mode‑share survey: reconcile to parking/charging logs; confidence tags stored. </w:t>
      </w:r>
      <w:r>
        <w:br/>
        <w:t xml:space="preserve">**Owners:** HR + Facilities + Sustainability. **KPIs:** % EV; % car‑share; km/quarter; commuting </w:t>
      </w:r>
      <w:proofErr w:type="spellStart"/>
      <w:r>
        <w:t>kgCO₂e</w:t>
      </w:r>
      <w:proofErr w:type="spellEnd"/>
      <w:r>
        <w:t xml:space="preserve">; survey completion; charger </w:t>
      </w:r>
      <w:proofErr w:type="spellStart"/>
      <w:r>
        <w:t>utilisation</w:t>
      </w:r>
      <w:proofErr w:type="spellEnd"/>
      <w:r>
        <w:t>. **Evidence:** surveys, logs.</w:t>
      </w:r>
    </w:p>
    <w:p w14:paraId="33BA9875" w14:textId="77777777" w:rsidR="001D1D45" w:rsidRDefault="00E371CD">
      <w:pPr>
        <w:pStyle w:val="Body"/>
      </w:pPr>
      <w:r>
        <w:t xml:space="preserve">**Pillar C — Site Delivery (Cranage/install fuels, selected Scope 3).** </w:t>
      </w:r>
      <w:r>
        <w:br/>
        <w:t xml:space="preserve">• Supplier declarations: </w:t>
      </w:r>
      <w:proofErr w:type="spellStart"/>
      <w:r>
        <w:t>litres</w:t>
      </w:r>
      <w:proofErr w:type="spellEnd"/>
      <w:r>
        <w:t xml:space="preserve">, fuel type, engine standard; chain‑of‑custody certificates for renewable diesel (HVO). </w:t>
      </w:r>
      <w:r>
        <w:br/>
        <w:t xml:space="preserve">• HVO pilot &amp; scale: OEM guidance; performance and compatibility documented. </w:t>
      </w:r>
      <w:r>
        <w:br/>
        <w:t xml:space="preserve">• Electrified/hybrid cranage: feasibility where site power allows; kWh vs </w:t>
      </w:r>
      <w:proofErr w:type="spellStart"/>
      <w:r>
        <w:t>litres</w:t>
      </w:r>
      <w:proofErr w:type="spellEnd"/>
      <w:r>
        <w:t xml:space="preserve"> captured. </w:t>
      </w:r>
      <w:r>
        <w:br/>
        <w:t xml:space="preserve">• Install sequencing: </w:t>
      </w:r>
      <w:proofErr w:type="spellStart"/>
      <w:r>
        <w:t>minimise</w:t>
      </w:r>
      <w:proofErr w:type="spellEnd"/>
      <w:r>
        <w:t xml:space="preserve"> idle hours; </w:t>
      </w:r>
      <w:proofErr w:type="spellStart"/>
      <w:r>
        <w:t>standardise</w:t>
      </w:r>
      <w:proofErr w:type="spellEnd"/>
      <w:r>
        <w:t xml:space="preserve"> start/stop logs and </w:t>
      </w:r>
      <w:proofErr w:type="spellStart"/>
      <w:r>
        <w:t>litres</w:t>
      </w:r>
      <w:proofErr w:type="spellEnd"/>
      <w:r>
        <w:t xml:space="preserve"> per lift/day. </w:t>
      </w:r>
      <w:r>
        <w:br/>
        <w:t xml:space="preserve">**Owners:** Procurement + Logistics + Site Manager + Sustainability. **KPIs:** </w:t>
      </w:r>
      <w:proofErr w:type="spellStart"/>
      <w:r>
        <w:t>litres</w:t>
      </w:r>
      <w:proofErr w:type="spellEnd"/>
      <w:r>
        <w:t xml:space="preserve">/module; % lifts on HVO/electric; cranage </w:t>
      </w:r>
      <w:proofErr w:type="spellStart"/>
      <w:r>
        <w:t>kgCO₂e</w:t>
      </w:r>
      <w:proofErr w:type="spellEnd"/>
      <w:r>
        <w:t>; average lift duration; % orders with verified certificates.</w:t>
      </w:r>
    </w:p>
    <w:p w14:paraId="18778D02" w14:textId="77777777" w:rsidR="001D1D45" w:rsidRDefault="00E371CD">
      <w:pPr>
        <w:pStyle w:val="Body"/>
      </w:pPr>
      <w:r>
        <w:t xml:space="preserve">**Pillar D — Materials &amp; Circularity (Project WLC; Module D).** </w:t>
      </w:r>
      <w:r>
        <w:br/>
        <w:t>• Design for Disassembly (</w:t>
      </w:r>
      <w:proofErr w:type="spellStart"/>
      <w:r>
        <w:t>DfD</w:t>
      </w:r>
      <w:proofErr w:type="spellEnd"/>
      <w:r>
        <w:t xml:space="preserve">): </w:t>
      </w:r>
      <w:proofErr w:type="spellStart"/>
      <w:r>
        <w:t>standardised</w:t>
      </w:r>
      <w:proofErr w:type="spellEnd"/>
      <w:r>
        <w:t xml:space="preserve"> reversible fixings; material tagging; documented take‑back schemes. </w:t>
      </w:r>
      <w:r>
        <w:br/>
        <w:t xml:space="preserve">• EPD/recycled content: increase coverage of environmental product declarations; specify recycled content where cost/quality align. </w:t>
      </w:r>
      <w:r>
        <w:br/>
        <w:t xml:space="preserve">• Recovery pathways: plan routes for steel, </w:t>
      </w:r>
      <w:proofErr w:type="spellStart"/>
      <w:r>
        <w:t>aluminium</w:t>
      </w:r>
      <w:proofErr w:type="spellEnd"/>
      <w:r>
        <w:t xml:space="preserve">, timber recovery with credible evidence; keep Module D separate from corporate totals. </w:t>
      </w:r>
      <w:r>
        <w:br/>
        <w:t>**Owners:** Design + Procurement + Project Carbon Leads. **KPIs:** % spend under EPD; recovery rates; verified Module D credits; embodied intensity trends. **Evidence:** EPDs, take‑back agreements.</w:t>
      </w:r>
    </w:p>
    <w:p w14:paraId="3D694AA9" w14:textId="77777777" w:rsidR="001D1D45" w:rsidRDefault="00E371CD">
      <w:pPr>
        <w:pStyle w:val="Body"/>
      </w:pPr>
      <w:r>
        <w:t xml:space="preserve">**Pillar E — Water &amp; Waste (Operational &amp; project interface).** </w:t>
      </w:r>
      <w:r>
        <w:br/>
        <w:t xml:space="preserve">• Water efficiency: assess fixtures/processes; track m³ where relevant; repair leaks quickly. </w:t>
      </w:r>
      <w:r>
        <w:br/>
        <w:t xml:space="preserve">• Operational waste: </w:t>
      </w:r>
      <w:proofErr w:type="spellStart"/>
      <w:r>
        <w:t>standardised</w:t>
      </w:r>
      <w:proofErr w:type="spellEnd"/>
      <w:r>
        <w:t xml:space="preserve"> segregation; track </w:t>
      </w:r>
      <w:proofErr w:type="spellStart"/>
      <w:r>
        <w:t>tonnes</w:t>
      </w:r>
      <w:proofErr w:type="spellEnd"/>
      <w:r>
        <w:t xml:space="preserve"> and % recycled; ensure site templates for install/close‑out. </w:t>
      </w:r>
      <w:r>
        <w:br/>
        <w:t>**Owners:** Facilities + Site. **KPIs:** water m³/month; % waste recycled; exception close‑out rate. **Evidence:** bills, site logs.</w:t>
      </w:r>
    </w:p>
    <w:p w14:paraId="0B62136F" w14:textId="77777777" w:rsidR="001D1D45" w:rsidRDefault="00E371CD">
      <w:pPr>
        <w:pStyle w:val="Body"/>
      </w:pPr>
      <w:r>
        <w:t xml:space="preserve">**Pillar F — Social &amp; Workforce.** </w:t>
      </w:r>
      <w:r>
        <w:br/>
        <w:t xml:space="preserve">• Safety &amp; wellbeing: maintain competent supervision, toolbox talks on energy/waste </w:t>
      </w:r>
      <w:proofErr w:type="spellStart"/>
      <w:r>
        <w:t>behaviours</w:t>
      </w:r>
      <w:proofErr w:type="spellEnd"/>
      <w:r>
        <w:t xml:space="preserve">, and safe plant use; reinforce compliance culture. </w:t>
      </w:r>
      <w:r>
        <w:br/>
      </w:r>
      <w:r>
        <w:lastRenderedPageBreak/>
        <w:t xml:space="preserve">• Skills &amp; engagement: brief staff on carbon goals, meters/charging etiquette, and site logs; </w:t>
      </w:r>
      <w:proofErr w:type="spellStart"/>
      <w:r>
        <w:t>recognise</w:t>
      </w:r>
      <w:proofErr w:type="spellEnd"/>
      <w:r>
        <w:t xml:space="preserve"> contributions to reductions. </w:t>
      </w:r>
      <w:r>
        <w:br/>
        <w:t xml:space="preserve">• Community &amp; transparency: publish concise CRP and progress notes; engage with local stakeholders around PV, EV and efficiency initiatives. </w:t>
      </w:r>
      <w:r>
        <w:br/>
        <w:t>**Owners:** Compliance/HR + Sustainability + Facilities. **KPIs:** training completions; participation rates; near‑miss trends; CRP engagement metrics.</w:t>
      </w:r>
    </w:p>
    <w:p w14:paraId="4C903B3A" w14:textId="77777777" w:rsidR="001D1D45" w:rsidRDefault="00E371CD">
      <w:pPr>
        <w:pStyle w:val="Body"/>
      </w:pPr>
      <w:r>
        <w:t xml:space="preserve">**Pillar G — Governance &amp; Compliance.** </w:t>
      </w:r>
      <w:r>
        <w:br/>
        <w:t xml:space="preserve">• Document control: apply EMO‑GOV‑PRO‑001 for coding, approval, issue, supersession and retention; maintain controlled repository. </w:t>
      </w:r>
      <w:r>
        <w:br/>
        <w:t xml:space="preserve">• Policy alignment: keep Strategy interfaces with the Net Zero 2050 Framework, CRP and WLC report; ensure separation of corporate vs project reporting. </w:t>
      </w:r>
      <w:r>
        <w:br/>
        <w:t xml:space="preserve">• Assurance planning: define annual internal verification scope and optional external assurance for tenders/public CRP. </w:t>
      </w:r>
      <w:r>
        <w:br/>
        <w:t>**Owners:** Compliance/DCL + Sustainability. **KPIs:** % data “Verified”; exceptions closed; assurance findings resolved; publication timeliness.</w:t>
      </w:r>
    </w:p>
    <w:p w14:paraId="543CF8DC" w14:textId="77777777" w:rsidR="001D1D45" w:rsidRDefault="00E371CD">
      <w:pPr>
        <w:pStyle w:val="Heading1"/>
      </w:pPr>
      <w:r>
        <w:t>7) Targets &amp; KPI Framework</w:t>
      </w:r>
    </w:p>
    <w:p w14:paraId="4223F321" w14:textId="77777777" w:rsidR="001D1D45" w:rsidRDefault="00E371CD">
      <w:pPr>
        <w:pStyle w:val="Body"/>
      </w:pPr>
      <w:r>
        <w:t>Total emissions milestones vs 2026 baseline: ~15% by 2028; 40% by 2030; 59% by 2035; 76% by 2040; 88% by 2050 (pre‑residual neutrality). Category targets: Scope 2 ≥60% by 2030, ≥90% by 2040; commuting −30% by 2030, ≥70% by 2040; cranage −80% by 2030, ≥95% by 2040. Corporate intensities (</w:t>
      </w:r>
      <w:proofErr w:type="spellStart"/>
      <w:r>
        <w:t>kgCO₂e</w:t>
      </w:r>
      <w:proofErr w:type="spellEnd"/>
      <w:r>
        <w:t xml:space="preserve">/module and </w:t>
      </w:r>
      <w:proofErr w:type="spellStart"/>
      <w:r>
        <w:t>kgCO₂e</w:t>
      </w:r>
      <w:proofErr w:type="spellEnd"/>
      <w:r>
        <w:t xml:space="preserve">/m²) are tracked alongside absolutes. KPIs are defined in a controlled annex with name/definition/unit/source/owner/cadence/thresholds, including kWh (factory/office/PV), Scope‑2 </w:t>
      </w:r>
      <w:proofErr w:type="spellStart"/>
      <w:r>
        <w:t>kgCO₂e</w:t>
      </w:r>
      <w:proofErr w:type="spellEnd"/>
      <w:r>
        <w:t xml:space="preserve">/month, % loads metered, PV self‑consumption %, % EV, % car‑share, </w:t>
      </w:r>
      <w:proofErr w:type="spellStart"/>
      <w:r>
        <w:t>litres</w:t>
      </w:r>
      <w:proofErr w:type="spellEnd"/>
      <w:r>
        <w:t xml:space="preserve"> by fuel type/module, % lifts on HVO/electric, % data points “Verified,” and exception close‑out rate.</w:t>
      </w:r>
    </w:p>
    <w:p w14:paraId="7832FF58" w14:textId="77777777" w:rsidR="001D1D45" w:rsidRDefault="00E371CD">
      <w:pPr>
        <w:pStyle w:val="Heading1"/>
      </w:pPr>
      <w:r>
        <w:t>8) Data, Methods &amp; Assurance</w:t>
      </w:r>
    </w:p>
    <w:p w14:paraId="577AC250" w14:textId="77777777" w:rsidR="001D1D45" w:rsidRDefault="00E371CD">
      <w:pPr>
        <w:pStyle w:val="Body"/>
      </w:pPr>
      <w:r>
        <w:t xml:space="preserve">Methods: corporate GHG accounting per the GHG Protocol using DEFRA/BEIS factors (electricity 0.233 </w:t>
      </w:r>
      <w:proofErr w:type="spellStart"/>
      <w:r>
        <w:t>kgCO₂e</w:t>
      </w:r>
      <w:proofErr w:type="spellEnd"/>
      <w:r>
        <w:t xml:space="preserve">/kWh location‑based; diesel 2.68 </w:t>
      </w:r>
      <w:proofErr w:type="spellStart"/>
      <w:r>
        <w:t>kgCO₂e</w:t>
      </w:r>
      <w:proofErr w:type="spellEnd"/>
      <w:r>
        <w:t xml:space="preserve">/L; commuting km factors); module WLC per EN 15978 with Module D separate and not mixed into corporate totals. Data management: the </w:t>
      </w:r>
      <w:proofErr w:type="spellStart"/>
      <w:r>
        <w:t>Data_Register</w:t>
      </w:r>
      <w:proofErr w:type="spellEnd"/>
      <w:r>
        <w:t xml:space="preserve"> captures activity data, owners, status/confidence, and evidence links; </w:t>
      </w:r>
      <w:proofErr w:type="spellStart"/>
      <w:r>
        <w:t>EF_Sources</w:t>
      </w:r>
      <w:proofErr w:type="spellEnd"/>
      <w:r>
        <w:t xml:space="preserve"> records factor provenance (publisher, region, vintage, notes) and change logs. Assurance: quarterly internal verification samples </w:t>
      </w:r>
      <w:proofErr w:type="gramStart"/>
      <w:r>
        <w:t>bills</w:t>
      </w:r>
      <w:proofErr w:type="gramEnd"/>
      <w:r>
        <w:t xml:space="preserve"> vs meters/PV logs; </w:t>
      </w:r>
      <w:proofErr w:type="spellStart"/>
      <w:r>
        <w:t>litres</w:t>
      </w:r>
      <w:proofErr w:type="spellEnd"/>
      <w:r>
        <w:t xml:space="preserve"> vs hours/hire sheets; surveys vs parking/charging logs. Exceptions are tracked to close‑out and </w:t>
      </w:r>
      <w:proofErr w:type="spellStart"/>
      <w:r>
        <w:t>summarised</w:t>
      </w:r>
      <w:proofErr w:type="spellEnd"/>
      <w:r>
        <w:t xml:space="preserve"> in CSG packs. External assurance may be commissioned for major tenders or annual public CRP updates. Evidence naming follows controlled conventions (YYYY‑</w:t>
      </w:r>
      <w:proofErr w:type="spellStart"/>
      <w:r>
        <w:t>MM_Source_ProjectOrSite_Category_vX</w:t>
      </w:r>
      <w:proofErr w:type="spellEnd"/>
      <w:r>
        <w:t>) with retention ≥7 years.</w:t>
      </w:r>
    </w:p>
    <w:p w14:paraId="1B7D4DE8" w14:textId="77777777" w:rsidR="001D1D45" w:rsidRDefault="00E371CD">
      <w:pPr>
        <w:pStyle w:val="Heading1"/>
      </w:pPr>
      <w:r>
        <w:t>9) Stakeholder Engagement &amp; Disclosures</w:t>
      </w:r>
    </w:p>
    <w:p w14:paraId="312284C4" w14:textId="77777777" w:rsidR="001D1D45" w:rsidRDefault="00E371CD">
      <w:pPr>
        <w:pStyle w:val="Body"/>
      </w:pPr>
      <w:r>
        <w:t xml:space="preserve">Emodula publishes an annual CRP (concise baseline, current totals, targets, measures, governance) and may issue quarterly progress notes. Client WLC summaries present A–C results with Module D separate. Website disclosures are coordinated across ESG/Policies and Insights, ensuring clarity and consistency with controlled </w:t>
      </w:r>
      <w:r>
        <w:lastRenderedPageBreak/>
        <w:t>documents. Stakeholder engagement includes supplier briefings on fuel declarations and certificates, staff communications on metering and mobility, and client discussions on WLC assumptions and recovery plans. All public disclosures route through Compliance/DCL for approval and supersession controls.</w:t>
      </w:r>
    </w:p>
    <w:p w14:paraId="144C119F" w14:textId="77777777" w:rsidR="001D1D45" w:rsidRDefault="00E371CD">
      <w:pPr>
        <w:pStyle w:val="Heading1"/>
      </w:pPr>
      <w:r>
        <w:t>10) Risk Management &amp; Opportunities</w:t>
      </w:r>
    </w:p>
    <w:p w14:paraId="454CC000" w14:textId="77777777" w:rsidR="001D1D45" w:rsidRDefault="00E371CD">
      <w:pPr>
        <w:pStyle w:val="Body"/>
      </w:pPr>
      <w:r>
        <w:t xml:space="preserve">Risks include data completeness/quality, supply‑chain availability for PV/HVO/electrified cranage, capital approvals, operational variability, methodological factor updates, </w:t>
      </w:r>
      <w:proofErr w:type="spellStart"/>
      <w:r>
        <w:t>behavioural</w:t>
      </w:r>
      <w:proofErr w:type="spellEnd"/>
      <w:r>
        <w:t xml:space="preserve"> adoption, and assurance capacity. Mitigations: automated reads; </w:t>
      </w:r>
      <w:proofErr w:type="spellStart"/>
      <w:r>
        <w:t>standardised</w:t>
      </w:r>
      <w:proofErr w:type="spellEnd"/>
      <w:r>
        <w:t xml:space="preserve"> site logs; dual‑sourcing and certificate clauses; phased investments; intensity reporting alongside absolutes; baseline recalculation policy with pre/post snapshots; incentives/training; early assurance scoping. Opportunities: PV + EV synergy; A4 payload/backhaul </w:t>
      </w:r>
      <w:proofErr w:type="spellStart"/>
      <w:r>
        <w:t>optimisation</w:t>
      </w:r>
      <w:proofErr w:type="spellEnd"/>
      <w:r>
        <w:t xml:space="preserve">; higher EPD coverage and recycled content; stronger </w:t>
      </w:r>
      <w:proofErr w:type="spellStart"/>
      <w:r>
        <w:t>DfD</w:t>
      </w:r>
      <w:proofErr w:type="spellEnd"/>
      <w:r>
        <w:t>/Module D evidence; and digital registers/dashboards that accelerate decisions and audits.</w:t>
      </w:r>
    </w:p>
    <w:p w14:paraId="2C6EA588" w14:textId="77777777" w:rsidR="001D1D45" w:rsidRDefault="00E371CD">
      <w:pPr>
        <w:pStyle w:val="Heading1"/>
      </w:pPr>
      <w:r>
        <w:t>11) Implementation Roadmap (First 24 Months)</w:t>
      </w:r>
    </w:p>
    <w:p w14:paraId="2BD10A9B" w14:textId="77777777" w:rsidR="001D1D45" w:rsidRDefault="00E371CD">
      <w:pPr>
        <w:pStyle w:val="Body"/>
      </w:pPr>
      <w:r>
        <w:t xml:space="preserve">**Quarter 1:** Submeter installation and commissioning; launch plug‑load SOP; set up car‑share pods; update crane‑hire clauses; run first mode‑share survey; prepare PV Phase‑1 feasibility and board pack. </w:t>
      </w:r>
      <w:r>
        <w:br/>
        <w:t xml:space="preserve">**Quarter 2:** LED/controls uplift; commission EV chargers; pilot HVO on compatible plant; baseline dashboard set. </w:t>
      </w:r>
      <w:r>
        <w:br/>
        <w:t xml:space="preserve">**Quarter 3:** Commission PV Phase‑1; electrified/hybrid cranage feasibility trial; second survey and reconciliation; first concise public progress note issued. </w:t>
      </w:r>
      <w:r>
        <w:br/>
        <w:t xml:space="preserve">**Quarter 4:** PV performance review; scale‑up decision; refine commuting </w:t>
      </w:r>
      <w:proofErr w:type="spellStart"/>
      <w:r>
        <w:t>programme</w:t>
      </w:r>
      <w:proofErr w:type="spellEnd"/>
      <w:r>
        <w:t xml:space="preserve">; assurance scoping for CRP; Strategy checkpoint in CSG. </w:t>
      </w:r>
      <w:r>
        <w:br/>
        <w:t xml:space="preserve">**Year 2:** Extend metering coverage as needed; initiate PV scale‑up/storage; expand verified HVO/electric lifts; add EPD coverage; strengthen </w:t>
      </w:r>
      <w:proofErr w:type="spellStart"/>
      <w:r>
        <w:t>DfD</w:t>
      </w:r>
      <w:proofErr w:type="spellEnd"/>
      <w:r>
        <w:t xml:space="preserve"> documentation; refresh targets if structural/boundary/method changes warrant recalculation.</w:t>
      </w:r>
    </w:p>
    <w:p w14:paraId="0D9098A1" w14:textId="77777777" w:rsidR="001D1D45" w:rsidRDefault="00E371CD">
      <w:pPr>
        <w:pStyle w:val="Heading1"/>
      </w:pPr>
      <w:r>
        <w:t>12) Roles, Governance &amp; RACI Summary</w:t>
      </w:r>
    </w:p>
    <w:p w14:paraId="7F3C146D" w14:textId="77777777" w:rsidR="001D1D45" w:rsidRDefault="00E371CD">
      <w:pPr>
        <w:pStyle w:val="Body"/>
      </w:pPr>
      <w:r>
        <w:t xml:space="preserve">Board/Executive: sets policy, approves targets/public disclosures, arbitrates resourcing. Carbon Steering Group: cross‑functional quarterly forum reviewing KPIs, risks, corrective actions and recalculation triggers; recommends changes to Board. Sustainability Lead: owns methods, </w:t>
      </w:r>
      <w:proofErr w:type="spellStart"/>
      <w:r>
        <w:t>Data_Register</w:t>
      </w:r>
      <w:proofErr w:type="spellEnd"/>
      <w:r>
        <w:t xml:space="preserve">, </w:t>
      </w:r>
      <w:proofErr w:type="spellStart"/>
      <w:r>
        <w:t>EF_Sources</w:t>
      </w:r>
      <w:proofErr w:type="spellEnd"/>
      <w:r>
        <w:t xml:space="preserve">, dashboards and internal verification; trains data owners and coordinates assurance. Facilities: metering, lighting/controls, PV and charger infrastructure with evidence provision. Production/Site: implements </w:t>
      </w:r>
      <w:proofErr w:type="spellStart"/>
      <w:r>
        <w:t>behaviours</w:t>
      </w:r>
      <w:proofErr w:type="spellEnd"/>
      <w:r>
        <w:t xml:space="preserve"> and captures site logs, start/stop and </w:t>
      </w:r>
      <w:proofErr w:type="spellStart"/>
      <w:r>
        <w:t>litres</w:t>
      </w:r>
      <w:proofErr w:type="spellEnd"/>
      <w:r>
        <w:t xml:space="preserve">; ensures sequencing to </w:t>
      </w:r>
      <w:proofErr w:type="spellStart"/>
      <w:r>
        <w:t>minimise</w:t>
      </w:r>
      <w:proofErr w:type="spellEnd"/>
      <w:r>
        <w:t xml:space="preserve"> idle time. Procurement &amp; Logistics: supplier declarations, HVO/electric cranage options, A4/C2 logistics data quality. HR: mode‑share surveys, parking/charging logs, privacy‑by‑design controls. Compliance/Document Control Lead: controlled repository, coding/issue/supersession, public CRP and website approvals. Project Carbon Leads: apply EN 15978, maintain separation from corporate totals, compile client WLC summaries.</w:t>
      </w:r>
    </w:p>
    <w:p w14:paraId="3EE8A5CA" w14:textId="77777777" w:rsidR="001D1D45" w:rsidRDefault="00E371CD">
      <w:pPr>
        <w:pStyle w:val="Heading1"/>
      </w:pPr>
      <w:r>
        <w:lastRenderedPageBreak/>
        <w:t>13) Appendices (Controlled)</w:t>
      </w:r>
    </w:p>
    <w:p w14:paraId="7E2D0A86" w14:textId="77777777" w:rsidR="001D1D45" w:rsidRDefault="00E371CD">
      <w:pPr>
        <w:pStyle w:val="Body"/>
      </w:pPr>
      <w:r>
        <w:t>Appendix A — Emission Factors catalogue (</w:t>
      </w:r>
      <w:proofErr w:type="spellStart"/>
      <w:r>
        <w:t>EF_Sources</w:t>
      </w:r>
      <w:proofErr w:type="spellEnd"/>
      <w:r>
        <w:t xml:space="preserve">). Appendix B — Corporate baseline tables (Scopes 2 + selected Scope 3) with status/confidence and evidence links. Appendix C — Module WLC summary (A–C totals; Module D disclosed separately) with assumptions. Appendix D — </w:t>
      </w:r>
      <w:proofErr w:type="spellStart"/>
      <w:r>
        <w:t>Data_Register</w:t>
      </w:r>
      <w:proofErr w:type="spellEnd"/>
      <w:r>
        <w:t xml:space="preserve"> snapshot and evidence list (bills, meter reads, supplier declarations, surveys). Appendix E — Governance and publication workflow (roles, approvals, assurance cadence). Appendices are version‑controlled and may be refreshed between policy reviews without changing policy intent.</w:t>
      </w:r>
    </w:p>
    <w:p w14:paraId="5AE8900B" w14:textId="77777777" w:rsidR="00C80F77" w:rsidRDefault="00C80F77">
      <w:pPr>
        <w:pStyle w:val="Body"/>
      </w:pPr>
    </w:p>
    <w:p w14:paraId="1D67260C" w14:textId="77777777" w:rsidR="00C80F77" w:rsidRDefault="00C80F77">
      <w:pPr>
        <w:pStyle w:val="Body"/>
      </w:pPr>
    </w:p>
    <w:p w14:paraId="3201A69E" w14:textId="77777777" w:rsidR="00C80F77" w:rsidRDefault="00C80F77">
      <w:pPr>
        <w:pStyle w:val="Body"/>
      </w:pPr>
    </w:p>
    <w:p w14:paraId="34394522" w14:textId="77777777" w:rsidR="00C80F77" w:rsidRDefault="00C80F77">
      <w:pPr>
        <w:pStyle w:val="Body"/>
      </w:pPr>
    </w:p>
    <w:p w14:paraId="5B3CE533" w14:textId="77777777" w:rsidR="00C80F77" w:rsidRDefault="00C80F77">
      <w:pPr>
        <w:pStyle w:val="Body"/>
      </w:pPr>
    </w:p>
    <w:p w14:paraId="71FB99F8" w14:textId="77777777" w:rsidR="00C80F77" w:rsidRDefault="00C80F77">
      <w:pPr>
        <w:pStyle w:val="Body"/>
      </w:pPr>
    </w:p>
    <w:p w14:paraId="5258AC03" w14:textId="77777777" w:rsidR="00C80F77" w:rsidRDefault="00C80F77">
      <w:pPr>
        <w:pStyle w:val="Body"/>
      </w:pPr>
    </w:p>
    <w:p w14:paraId="5DC52327" w14:textId="77777777" w:rsidR="00C80F77" w:rsidRDefault="00C80F77">
      <w:pPr>
        <w:pStyle w:val="Body"/>
      </w:pPr>
    </w:p>
    <w:p w14:paraId="024FFBF5" w14:textId="77777777" w:rsidR="00C80F77" w:rsidRDefault="00C80F77">
      <w:pPr>
        <w:pStyle w:val="Body"/>
      </w:pPr>
    </w:p>
    <w:p w14:paraId="7537465A" w14:textId="77777777" w:rsidR="00C80F77" w:rsidRDefault="00C80F77">
      <w:pPr>
        <w:pStyle w:val="Body"/>
      </w:pPr>
    </w:p>
    <w:p w14:paraId="740522D1" w14:textId="77777777" w:rsidR="00C80F77" w:rsidRDefault="00C80F77">
      <w:pPr>
        <w:pStyle w:val="Body"/>
      </w:pPr>
    </w:p>
    <w:p w14:paraId="4E81DF6C" w14:textId="77777777" w:rsidR="00C80F77" w:rsidRDefault="00C80F77">
      <w:pPr>
        <w:pStyle w:val="Body"/>
      </w:pPr>
    </w:p>
    <w:p w14:paraId="2AB824A3" w14:textId="77777777" w:rsidR="00C80F77" w:rsidRDefault="00C80F77">
      <w:pPr>
        <w:pStyle w:val="Body"/>
      </w:pPr>
    </w:p>
    <w:p w14:paraId="55B70303" w14:textId="77777777" w:rsidR="00C80F77" w:rsidRDefault="00C80F77">
      <w:pPr>
        <w:pStyle w:val="Body"/>
      </w:pPr>
    </w:p>
    <w:p w14:paraId="10B0E211" w14:textId="77777777" w:rsidR="00C80F77" w:rsidRDefault="00C80F77">
      <w:pPr>
        <w:pStyle w:val="Body"/>
      </w:pPr>
    </w:p>
    <w:p w14:paraId="01AB7A05" w14:textId="77777777" w:rsidR="00C80F77" w:rsidRDefault="00C80F77">
      <w:pPr>
        <w:pStyle w:val="Body"/>
      </w:pPr>
    </w:p>
    <w:p w14:paraId="59F8BFFE" w14:textId="77777777" w:rsidR="00C80F77" w:rsidRDefault="00C80F77">
      <w:pPr>
        <w:pStyle w:val="Body"/>
      </w:pPr>
    </w:p>
    <w:p w14:paraId="56ED7413" w14:textId="77777777" w:rsidR="00C80F77" w:rsidRDefault="00C80F77">
      <w:pPr>
        <w:pStyle w:val="Body"/>
      </w:pPr>
    </w:p>
    <w:p w14:paraId="61C70CE3" w14:textId="77777777" w:rsidR="00C80F77" w:rsidRDefault="00C80F77">
      <w:pPr>
        <w:pStyle w:val="Body"/>
      </w:pPr>
    </w:p>
    <w:p w14:paraId="225C18C7" w14:textId="77777777" w:rsidR="00C80F77" w:rsidRDefault="00C80F77">
      <w:pPr>
        <w:pStyle w:val="Body"/>
      </w:pPr>
    </w:p>
    <w:p w14:paraId="2DEACBFE" w14:textId="77777777" w:rsidR="00C80F77" w:rsidRDefault="00C80F77">
      <w:pPr>
        <w:pStyle w:val="Body"/>
      </w:pPr>
    </w:p>
    <w:p w14:paraId="6328EA5D" w14:textId="77777777" w:rsidR="00C80F77" w:rsidRDefault="00C80F77">
      <w:pPr>
        <w:pStyle w:val="Body"/>
      </w:pPr>
    </w:p>
    <w:p w14:paraId="16BC6697" w14:textId="77777777" w:rsidR="00C80F77" w:rsidRDefault="00C80F77">
      <w:pPr>
        <w:pStyle w:val="Body"/>
      </w:pPr>
    </w:p>
    <w:p w14:paraId="401CEE80" w14:textId="77777777" w:rsidR="00C80F77" w:rsidRDefault="00C80F77">
      <w:pPr>
        <w:pStyle w:val="Body"/>
      </w:pPr>
    </w:p>
    <w:p w14:paraId="7AF225EE" w14:textId="2F22361F" w:rsidR="00C80F77" w:rsidRPr="00C80F77" w:rsidRDefault="00C80F77">
      <w:pPr>
        <w:pStyle w:val="Body"/>
        <w:rPr>
          <w:sz w:val="36"/>
          <w:szCs w:val="36"/>
        </w:rPr>
      </w:pPr>
      <w:r w:rsidRPr="00C80F77">
        <w:rPr>
          <w:sz w:val="36"/>
          <w:szCs w:val="36"/>
        </w:rPr>
        <w:t>Audit Comments</w:t>
      </w:r>
    </w:p>
    <w:p w14:paraId="16F4C0A3" w14:textId="77777777" w:rsidR="00C80F77" w:rsidRDefault="00C80F77">
      <w:pPr>
        <w:pStyle w:val="Body"/>
      </w:pPr>
    </w:p>
    <w:p w14:paraId="32BBC98D" w14:textId="77777777" w:rsidR="00C80F77" w:rsidRPr="00C80F77" w:rsidRDefault="00C80F77" w:rsidP="00C80F77">
      <w:pPr>
        <w:pStyle w:val="Body"/>
        <w:rPr>
          <w:b/>
          <w:bCs/>
          <w:lang w:val="en-GB"/>
        </w:rPr>
      </w:pPr>
      <w:r w:rsidRPr="00C80F77">
        <w:rPr>
          <w:b/>
          <w:bCs/>
          <w:lang w:val="en-GB"/>
        </w:rPr>
        <w:t>A. Mandatory Format &amp; Style Requirements</w:t>
      </w:r>
    </w:p>
    <w:p w14:paraId="692FFF76" w14:textId="77777777" w:rsidR="00C80F77" w:rsidRPr="00C80F77" w:rsidRDefault="00C80F77" w:rsidP="00C80F77">
      <w:pPr>
        <w:pStyle w:val="Body"/>
        <w:rPr>
          <w:lang w:val="en-GB"/>
        </w:rPr>
      </w:pPr>
      <w:r w:rsidRPr="00C80F77">
        <w:rPr>
          <w:i/>
          <w:iCs/>
          <w:lang w:val="en-GB"/>
        </w:rPr>
        <w:t>(Required to align with EMO-GOV-PRO-001)</w:t>
      </w:r>
    </w:p>
    <w:p w14:paraId="71683884" w14:textId="77777777" w:rsidR="00C80F77" w:rsidRPr="00C80F77" w:rsidRDefault="00C80F77" w:rsidP="00C80F77">
      <w:pPr>
        <w:pStyle w:val="Body"/>
        <w:rPr>
          <w:lang w:val="en-GB"/>
        </w:rPr>
      </w:pPr>
      <w:r w:rsidRPr="00C80F77">
        <w:rPr>
          <w:lang w:val="en-GB"/>
        </w:rPr>
        <w:t>Apply full corporate formatting standards, ensuring visual clarity and consistency.</w:t>
      </w:r>
    </w:p>
    <w:p w14:paraId="464D1A50" w14:textId="77777777" w:rsidR="00C80F77" w:rsidRPr="00C80F77" w:rsidRDefault="00C80F77" w:rsidP="00C80F77">
      <w:pPr>
        <w:pStyle w:val="Body"/>
        <w:rPr>
          <w:lang w:val="en-GB"/>
        </w:rPr>
      </w:pPr>
      <w:r w:rsidRPr="00C80F77">
        <w:rPr>
          <w:lang w:val="en-GB"/>
        </w:rPr>
        <w:pict w14:anchorId="2CF7D6C7">
          <v:rect id="_x0000_i1043" style="width:0;height:1.5pt" o:hralign="center" o:hrstd="t" o:hr="t" fillcolor="#a0a0a0" stroked="f"/>
        </w:pict>
      </w:r>
    </w:p>
    <w:p w14:paraId="16F73A5E" w14:textId="77777777" w:rsidR="00C80F77" w:rsidRPr="00C80F77" w:rsidRDefault="00C80F77" w:rsidP="00C80F77">
      <w:pPr>
        <w:pStyle w:val="Body"/>
        <w:rPr>
          <w:b/>
          <w:bCs/>
          <w:lang w:val="en-GB"/>
        </w:rPr>
      </w:pPr>
      <w:r w:rsidRPr="00C80F77">
        <w:rPr>
          <w:b/>
          <w:bCs/>
          <w:lang w:val="en-GB"/>
        </w:rPr>
        <w:t>B. Presentation &amp; Structural Changes Required</w:t>
      </w:r>
    </w:p>
    <w:p w14:paraId="2586F0AE" w14:textId="77777777" w:rsidR="00C80F77" w:rsidRPr="00C80F77" w:rsidRDefault="00C80F77" w:rsidP="00C80F77">
      <w:pPr>
        <w:pStyle w:val="Body"/>
        <w:rPr>
          <w:b/>
          <w:bCs/>
          <w:lang w:val="en-GB"/>
        </w:rPr>
      </w:pPr>
      <w:r w:rsidRPr="00C80F77">
        <w:rPr>
          <w:b/>
          <w:bCs/>
          <w:lang w:val="en-GB"/>
        </w:rPr>
        <w:t>1. Add a “Strategy on a Page” section</w:t>
      </w:r>
    </w:p>
    <w:p w14:paraId="44CC1675" w14:textId="77777777" w:rsidR="00C80F77" w:rsidRPr="00C80F77" w:rsidRDefault="00C80F77" w:rsidP="00C80F77">
      <w:pPr>
        <w:pStyle w:val="Body"/>
        <w:rPr>
          <w:lang w:val="en-GB"/>
        </w:rPr>
      </w:pPr>
      <w:r w:rsidRPr="00C80F77">
        <w:rPr>
          <w:lang w:val="en-GB"/>
        </w:rPr>
        <w:t>Insert a 1–2 page summary covering:</w:t>
      </w:r>
    </w:p>
    <w:p w14:paraId="648658C6" w14:textId="77777777" w:rsidR="00C80F77" w:rsidRPr="00C80F77" w:rsidRDefault="00C80F77" w:rsidP="00C80F77">
      <w:pPr>
        <w:pStyle w:val="Body"/>
        <w:numPr>
          <w:ilvl w:val="0"/>
          <w:numId w:val="10"/>
        </w:numPr>
        <w:rPr>
          <w:lang w:val="en-GB"/>
        </w:rPr>
      </w:pPr>
      <w:r w:rsidRPr="00C80F77">
        <w:rPr>
          <w:lang w:val="en-GB"/>
        </w:rPr>
        <w:t>Strategic vision</w:t>
      </w:r>
    </w:p>
    <w:p w14:paraId="11088EB5" w14:textId="77777777" w:rsidR="00C80F77" w:rsidRPr="00C80F77" w:rsidRDefault="00C80F77" w:rsidP="00C80F77">
      <w:pPr>
        <w:pStyle w:val="Body"/>
        <w:numPr>
          <w:ilvl w:val="0"/>
          <w:numId w:val="10"/>
        </w:numPr>
        <w:rPr>
          <w:lang w:val="en-GB"/>
        </w:rPr>
      </w:pPr>
      <w:r w:rsidRPr="00C80F77">
        <w:rPr>
          <w:lang w:val="en-GB"/>
        </w:rPr>
        <w:t>Material focus areas</w:t>
      </w:r>
    </w:p>
    <w:p w14:paraId="10576304" w14:textId="77777777" w:rsidR="00C80F77" w:rsidRPr="00C80F77" w:rsidRDefault="00C80F77" w:rsidP="00C80F77">
      <w:pPr>
        <w:pStyle w:val="Body"/>
        <w:numPr>
          <w:ilvl w:val="0"/>
          <w:numId w:val="10"/>
        </w:numPr>
        <w:rPr>
          <w:lang w:val="en-GB"/>
        </w:rPr>
      </w:pPr>
      <w:r w:rsidRPr="00C80F77">
        <w:rPr>
          <w:lang w:val="en-GB"/>
        </w:rPr>
        <w:t>2026 baseline</w:t>
      </w:r>
    </w:p>
    <w:p w14:paraId="037E38D8" w14:textId="77777777" w:rsidR="00C80F77" w:rsidRPr="00C80F77" w:rsidRDefault="00C80F77" w:rsidP="00C80F77">
      <w:pPr>
        <w:pStyle w:val="Body"/>
        <w:numPr>
          <w:ilvl w:val="0"/>
          <w:numId w:val="10"/>
        </w:numPr>
        <w:rPr>
          <w:lang w:val="en-GB"/>
        </w:rPr>
      </w:pPr>
      <w:r w:rsidRPr="00C80F77">
        <w:rPr>
          <w:lang w:val="en-GB"/>
        </w:rPr>
        <w:t>2030 objectives</w:t>
      </w:r>
    </w:p>
    <w:p w14:paraId="1C576647" w14:textId="77777777" w:rsidR="00C80F77" w:rsidRPr="00C80F77" w:rsidRDefault="00C80F77" w:rsidP="00C80F77">
      <w:pPr>
        <w:pStyle w:val="Body"/>
        <w:numPr>
          <w:ilvl w:val="0"/>
          <w:numId w:val="10"/>
        </w:numPr>
        <w:rPr>
          <w:lang w:val="en-GB"/>
        </w:rPr>
      </w:pPr>
      <w:r w:rsidRPr="00C80F77">
        <w:rPr>
          <w:lang w:val="en-GB"/>
        </w:rPr>
        <w:t>Governance and accountability</w:t>
      </w:r>
    </w:p>
    <w:p w14:paraId="5FFB60EC" w14:textId="77777777" w:rsidR="00C80F77" w:rsidRPr="00C80F77" w:rsidRDefault="00C80F77" w:rsidP="00C80F77">
      <w:pPr>
        <w:pStyle w:val="Body"/>
        <w:rPr>
          <w:b/>
          <w:bCs/>
          <w:lang w:val="en-GB"/>
        </w:rPr>
      </w:pPr>
      <w:r w:rsidRPr="00C80F77">
        <w:rPr>
          <w:b/>
          <w:bCs/>
          <w:lang w:val="en-GB"/>
        </w:rPr>
        <w:t>2. Standardise pillar presentation</w:t>
      </w:r>
    </w:p>
    <w:p w14:paraId="49C2213D" w14:textId="77777777" w:rsidR="00C80F77" w:rsidRPr="00C80F77" w:rsidRDefault="00C80F77" w:rsidP="00C80F77">
      <w:pPr>
        <w:pStyle w:val="Body"/>
        <w:rPr>
          <w:lang w:val="en-GB"/>
        </w:rPr>
      </w:pPr>
      <w:r w:rsidRPr="00C80F77">
        <w:rPr>
          <w:lang w:val="en-GB"/>
        </w:rPr>
        <w:t>Each strategic pillar must be presented using a consistent structure:</w:t>
      </w:r>
    </w:p>
    <w:p w14:paraId="37820364" w14:textId="77777777" w:rsidR="00C80F77" w:rsidRPr="00C80F77" w:rsidRDefault="00C80F77" w:rsidP="00C80F77">
      <w:pPr>
        <w:pStyle w:val="Body"/>
        <w:numPr>
          <w:ilvl w:val="0"/>
          <w:numId w:val="11"/>
        </w:numPr>
        <w:rPr>
          <w:lang w:val="en-GB"/>
        </w:rPr>
      </w:pPr>
      <w:r w:rsidRPr="00C80F77">
        <w:rPr>
          <w:lang w:val="en-GB"/>
        </w:rPr>
        <w:t>Objective</w:t>
      </w:r>
    </w:p>
    <w:p w14:paraId="11C8F231" w14:textId="77777777" w:rsidR="00C80F77" w:rsidRPr="00C80F77" w:rsidRDefault="00C80F77" w:rsidP="00C80F77">
      <w:pPr>
        <w:pStyle w:val="Body"/>
        <w:numPr>
          <w:ilvl w:val="0"/>
          <w:numId w:val="11"/>
        </w:numPr>
        <w:rPr>
          <w:lang w:val="en-GB"/>
        </w:rPr>
      </w:pPr>
      <w:r w:rsidRPr="00C80F77">
        <w:rPr>
          <w:lang w:val="en-GB"/>
        </w:rPr>
        <w:t>Key initiatives</w:t>
      </w:r>
    </w:p>
    <w:p w14:paraId="64FFF3A0" w14:textId="77777777" w:rsidR="00C80F77" w:rsidRPr="00C80F77" w:rsidRDefault="00C80F77" w:rsidP="00C80F77">
      <w:pPr>
        <w:pStyle w:val="Body"/>
        <w:numPr>
          <w:ilvl w:val="0"/>
          <w:numId w:val="11"/>
        </w:numPr>
        <w:rPr>
          <w:lang w:val="en-GB"/>
        </w:rPr>
      </w:pPr>
      <w:r w:rsidRPr="00C80F77">
        <w:rPr>
          <w:lang w:val="en-GB"/>
        </w:rPr>
        <w:t>KPIs</w:t>
      </w:r>
    </w:p>
    <w:p w14:paraId="4A32394F" w14:textId="77777777" w:rsidR="00C80F77" w:rsidRPr="00C80F77" w:rsidRDefault="00C80F77" w:rsidP="00C80F77">
      <w:pPr>
        <w:pStyle w:val="Body"/>
        <w:numPr>
          <w:ilvl w:val="0"/>
          <w:numId w:val="11"/>
        </w:numPr>
        <w:rPr>
          <w:lang w:val="en-GB"/>
        </w:rPr>
      </w:pPr>
      <w:r w:rsidRPr="00C80F77">
        <w:rPr>
          <w:lang w:val="en-GB"/>
        </w:rPr>
        <w:t>Owner</w:t>
      </w:r>
    </w:p>
    <w:p w14:paraId="03CD7308" w14:textId="77777777" w:rsidR="00C80F77" w:rsidRPr="00C80F77" w:rsidRDefault="00C80F77" w:rsidP="00C80F77">
      <w:pPr>
        <w:pStyle w:val="Body"/>
        <w:numPr>
          <w:ilvl w:val="0"/>
          <w:numId w:val="11"/>
        </w:numPr>
        <w:rPr>
          <w:lang w:val="en-GB"/>
        </w:rPr>
      </w:pPr>
      <w:r w:rsidRPr="00C80F77">
        <w:rPr>
          <w:lang w:val="en-GB"/>
        </w:rPr>
        <w:t>Evidence source</w:t>
      </w:r>
    </w:p>
    <w:p w14:paraId="7BC29986" w14:textId="77777777" w:rsidR="00C80F77" w:rsidRPr="00C80F77" w:rsidRDefault="00C80F77" w:rsidP="00C80F77">
      <w:pPr>
        <w:pStyle w:val="Body"/>
        <w:numPr>
          <w:ilvl w:val="0"/>
          <w:numId w:val="11"/>
        </w:numPr>
        <w:rPr>
          <w:lang w:val="en-GB"/>
        </w:rPr>
      </w:pPr>
      <w:r w:rsidRPr="00C80F77">
        <w:rPr>
          <w:lang w:val="en-GB"/>
        </w:rPr>
        <w:t>Timeframe</w:t>
      </w:r>
    </w:p>
    <w:p w14:paraId="73889C8B" w14:textId="77777777" w:rsidR="00C80F77" w:rsidRPr="00C80F77" w:rsidRDefault="00C80F77" w:rsidP="00C80F77">
      <w:pPr>
        <w:pStyle w:val="Body"/>
        <w:rPr>
          <w:lang w:val="en-GB"/>
        </w:rPr>
      </w:pPr>
      <w:r w:rsidRPr="00C80F77">
        <w:rPr>
          <w:lang w:val="en-GB"/>
        </w:rPr>
        <w:t>Narrative descriptions should be secondary to structured presentation.</w:t>
      </w:r>
    </w:p>
    <w:p w14:paraId="5AEA6BDE" w14:textId="77777777" w:rsidR="00C80F77" w:rsidRPr="00C80F77" w:rsidRDefault="00C80F77" w:rsidP="00C80F77">
      <w:pPr>
        <w:pStyle w:val="Body"/>
        <w:rPr>
          <w:b/>
          <w:bCs/>
          <w:lang w:val="en-GB"/>
        </w:rPr>
      </w:pPr>
      <w:r w:rsidRPr="00C80F77">
        <w:rPr>
          <w:b/>
          <w:bCs/>
          <w:lang w:val="en-GB"/>
        </w:rPr>
        <w:t>3. Make KPIs highly visible</w:t>
      </w:r>
    </w:p>
    <w:p w14:paraId="6E3908B9" w14:textId="77777777" w:rsidR="00C80F77" w:rsidRPr="00C80F77" w:rsidRDefault="00C80F77" w:rsidP="00C80F77">
      <w:pPr>
        <w:pStyle w:val="Body"/>
        <w:numPr>
          <w:ilvl w:val="0"/>
          <w:numId w:val="12"/>
        </w:numPr>
        <w:rPr>
          <w:lang w:val="en-GB"/>
        </w:rPr>
      </w:pPr>
      <w:r w:rsidRPr="00C80F77">
        <w:rPr>
          <w:lang w:val="en-GB"/>
        </w:rPr>
        <w:lastRenderedPageBreak/>
        <w:t xml:space="preserve">Introduce a </w:t>
      </w:r>
      <w:r w:rsidRPr="00C80F77">
        <w:rPr>
          <w:b/>
          <w:bCs/>
          <w:lang w:val="en-GB"/>
        </w:rPr>
        <w:t>single KPI summary table</w:t>
      </w:r>
    </w:p>
    <w:p w14:paraId="1D10A2B0" w14:textId="77777777" w:rsidR="00C80F77" w:rsidRPr="00C80F77" w:rsidRDefault="00C80F77" w:rsidP="00C80F77">
      <w:pPr>
        <w:pStyle w:val="Body"/>
        <w:numPr>
          <w:ilvl w:val="0"/>
          <w:numId w:val="12"/>
        </w:numPr>
        <w:rPr>
          <w:lang w:val="en-GB"/>
        </w:rPr>
      </w:pPr>
      <w:r w:rsidRPr="00C80F77">
        <w:rPr>
          <w:lang w:val="en-GB"/>
        </w:rPr>
        <w:t>Reference KPIs by table number rather than repeating descriptions throughout the text.</w:t>
      </w:r>
    </w:p>
    <w:p w14:paraId="223DE89F" w14:textId="77777777" w:rsidR="00C80F77" w:rsidRPr="00C80F77" w:rsidRDefault="00C80F77" w:rsidP="00C80F77">
      <w:pPr>
        <w:pStyle w:val="Body"/>
        <w:rPr>
          <w:lang w:val="en-GB"/>
        </w:rPr>
      </w:pPr>
      <w:r w:rsidRPr="00C80F77">
        <w:rPr>
          <w:lang w:val="en-GB"/>
        </w:rPr>
        <w:pict w14:anchorId="3AF764AA">
          <v:rect id="_x0000_i1044" style="width:0;height:1.5pt" o:hralign="center" o:hrstd="t" o:hr="t" fillcolor="#a0a0a0" stroked="f"/>
        </w:pict>
      </w:r>
    </w:p>
    <w:p w14:paraId="3C11D575" w14:textId="77777777" w:rsidR="00C80F77" w:rsidRPr="00C80F77" w:rsidRDefault="00C80F77" w:rsidP="00C80F77">
      <w:pPr>
        <w:pStyle w:val="Body"/>
        <w:rPr>
          <w:b/>
          <w:bCs/>
          <w:lang w:val="en-GB"/>
        </w:rPr>
      </w:pPr>
      <w:r w:rsidRPr="00C80F77">
        <w:rPr>
          <w:b/>
          <w:bCs/>
          <w:lang w:val="en-GB"/>
        </w:rPr>
        <w:t>C. Missing or Incomplete Information</w:t>
      </w:r>
    </w:p>
    <w:p w14:paraId="1336BE1A" w14:textId="77777777" w:rsidR="00C80F77" w:rsidRPr="00C80F77" w:rsidRDefault="00C80F77" w:rsidP="00C80F77">
      <w:pPr>
        <w:pStyle w:val="Body"/>
        <w:rPr>
          <w:lang w:val="en-GB"/>
        </w:rPr>
      </w:pPr>
      <w:r w:rsidRPr="00C80F77">
        <w:rPr>
          <w:lang w:val="en-GB"/>
        </w:rPr>
        <w:t>The following items must be completed to align with document control requirements:</w:t>
      </w:r>
    </w:p>
    <w:p w14:paraId="3627A1B2" w14:textId="77777777" w:rsidR="00C80F77" w:rsidRPr="00C80F77" w:rsidRDefault="00C80F77" w:rsidP="00C80F77">
      <w:pPr>
        <w:pStyle w:val="Body"/>
        <w:numPr>
          <w:ilvl w:val="0"/>
          <w:numId w:val="13"/>
        </w:numPr>
        <w:rPr>
          <w:lang w:val="en-GB"/>
        </w:rPr>
      </w:pPr>
      <w:r w:rsidRPr="00C80F77">
        <w:rPr>
          <w:lang w:val="en-GB"/>
        </w:rPr>
        <w:t>Document Code</w:t>
      </w:r>
    </w:p>
    <w:p w14:paraId="2972F09F" w14:textId="77777777" w:rsidR="00C80F77" w:rsidRPr="00C80F77" w:rsidRDefault="00C80F77" w:rsidP="00C80F77">
      <w:pPr>
        <w:pStyle w:val="Body"/>
        <w:numPr>
          <w:ilvl w:val="0"/>
          <w:numId w:val="13"/>
        </w:numPr>
        <w:rPr>
          <w:lang w:val="en-GB"/>
        </w:rPr>
      </w:pPr>
      <w:r w:rsidRPr="00C80F77">
        <w:rPr>
          <w:lang w:val="en-GB"/>
        </w:rPr>
        <w:t>Version / Status</w:t>
      </w:r>
    </w:p>
    <w:p w14:paraId="3985DE20" w14:textId="77777777" w:rsidR="00C80F77" w:rsidRPr="00C80F77" w:rsidRDefault="00C80F77" w:rsidP="00C80F77">
      <w:pPr>
        <w:pStyle w:val="Body"/>
        <w:numPr>
          <w:ilvl w:val="0"/>
          <w:numId w:val="13"/>
        </w:numPr>
        <w:rPr>
          <w:lang w:val="en-GB"/>
        </w:rPr>
      </w:pPr>
      <w:r w:rsidRPr="00C80F77">
        <w:rPr>
          <w:lang w:val="en-GB"/>
        </w:rPr>
        <w:t>Issue date</w:t>
      </w:r>
    </w:p>
    <w:p w14:paraId="5FA74DB6" w14:textId="77777777" w:rsidR="00C80F77" w:rsidRPr="00C80F77" w:rsidRDefault="00C80F77" w:rsidP="00C80F77">
      <w:pPr>
        <w:pStyle w:val="Body"/>
        <w:numPr>
          <w:ilvl w:val="0"/>
          <w:numId w:val="13"/>
        </w:numPr>
        <w:rPr>
          <w:lang w:val="en-GB"/>
        </w:rPr>
      </w:pPr>
      <w:r w:rsidRPr="00C80F77">
        <w:rPr>
          <w:lang w:val="en-GB"/>
        </w:rPr>
        <w:t>Revision history</w:t>
      </w:r>
    </w:p>
    <w:p w14:paraId="305D2206" w14:textId="77777777" w:rsidR="00C80F77" w:rsidRPr="00C80F77" w:rsidRDefault="00C80F77" w:rsidP="00C80F77">
      <w:pPr>
        <w:pStyle w:val="Body"/>
        <w:numPr>
          <w:ilvl w:val="0"/>
          <w:numId w:val="13"/>
        </w:numPr>
        <w:rPr>
          <w:lang w:val="en-GB"/>
        </w:rPr>
      </w:pPr>
      <w:r w:rsidRPr="00C80F77">
        <w:rPr>
          <w:lang w:val="en-GB"/>
        </w:rPr>
        <w:t>Defined review cycle (e.g. annual)</w:t>
      </w:r>
    </w:p>
    <w:p w14:paraId="7FEF1106" w14:textId="77777777" w:rsidR="00C80F77" w:rsidRPr="00C80F77" w:rsidRDefault="00C80F77" w:rsidP="00C80F77">
      <w:pPr>
        <w:pStyle w:val="Body"/>
        <w:rPr>
          <w:lang w:val="en-GB"/>
        </w:rPr>
      </w:pPr>
      <w:r w:rsidRPr="00C80F77">
        <w:rPr>
          <w:lang w:val="en-GB"/>
        </w:rPr>
        <w:pict w14:anchorId="3FDD9577">
          <v:rect id="_x0000_i1045" style="width:0;height:1.5pt" o:hralign="center" o:hrstd="t" o:hr="t" fillcolor="#a0a0a0" stroked="f"/>
        </w:pict>
      </w:r>
    </w:p>
    <w:p w14:paraId="116D1303" w14:textId="77777777" w:rsidR="00C80F77" w:rsidRPr="00C80F77" w:rsidRDefault="00C80F77" w:rsidP="00C80F77">
      <w:pPr>
        <w:pStyle w:val="Body"/>
        <w:rPr>
          <w:b/>
          <w:bCs/>
          <w:lang w:val="en-GB"/>
        </w:rPr>
      </w:pPr>
      <w:r w:rsidRPr="00C80F77">
        <w:rPr>
          <w:b/>
          <w:bCs/>
          <w:lang w:val="en-GB"/>
        </w:rPr>
        <w:t>D. Alignment &amp; Cohesion Requirements</w:t>
      </w:r>
    </w:p>
    <w:p w14:paraId="207F0912" w14:textId="77777777" w:rsidR="00C80F77" w:rsidRPr="00C80F77" w:rsidRDefault="00C80F77" w:rsidP="00C80F77">
      <w:pPr>
        <w:pStyle w:val="Body"/>
        <w:numPr>
          <w:ilvl w:val="0"/>
          <w:numId w:val="14"/>
        </w:numPr>
        <w:rPr>
          <w:lang w:val="en-GB"/>
        </w:rPr>
      </w:pPr>
      <w:r w:rsidRPr="00C80F77">
        <w:rPr>
          <w:lang w:val="en-GB"/>
        </w:rPr>
        <w:t>Baseline year, targets, and terminology must match the Net Zero Policy and CRP exactly.</w:t>
      </w:r>
    </w:p>
    <w:p w14:paraId="448BCD1B" w14:textId="77777777" w:rsidR="00C80F77" w:rsidRPr="00C80F77" w:rsidRDefault="00C80F77" w:rsidP="00C80F77">
      <w:pPr>
        <w:pStyle w:val="Body"/>
        <w:numPr>
          <w:ilvl w:val="0"/>
          <w:numId w:val="14"/>
        </w:numPr>
        <w:rPr>
          <w:lang w:val="en-GB"/>
        </w:rPr>
      </w:pPr>
      <w:r w:rsidRPr="00C80F77">
        <w:rPr>
          <w:lang w:val="en-GB"/>
        </w:rPr>
        <w:t xml:space="preserve">This document must </w:t>
      </w:r>
      <w:r w:rsidRPr="00C80F77">
        <w:rPr>
          <w:b/>
          <w:bCs/>
          <w:lang w:val="en-GB"/>
        </w:rPr>
        <w:t>direct readers to the CRP</w:t>
      </w:r>
      <w:r w:rsidRPr="00C80F77">
        <w:rPr>
          <w:lang w:val="en-GB"/>
        </w:rPr>
        <w:t xml:space="preserve"> for detailed delivery actions.</w:t>
      </w:r>
    </w:p>
    <w:p w14:paraId="74B5DC4B" w14:textId="77777777" w:rsidR="00C80F77" w:rsidRDefault="00C80F77">
      <w:pPr>
        <w:pStyle w:val="Body"/>
      </w:pPr>
    </w:p>
    <w:sectPr w:rsidR="00C80F77" w:rsidSect="00034616">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FA8E" w14:textId="77777777" w:rsidR="00C23F53" w:rsidRDefault="00C23F53">
      <w:pPr>
        <w:spacing w:after="0" w:line="240" w:lineRule="auto"/>
      </w:pPr>
      <w:r>
        <w:separator/>
      </w:r>
    </w:p>
  </w:endnote>
  <w:endnote w:type="continuationSeparator" w:id="0">
    <w:p w14:paraId="38AC5FC9" w14:textId="77777777" w:rsidR="00C23F53" w:rsidRDefault="00C2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2CE8" w14:textId="77777777" w:rsidR="001D1D45" w:rsidRDefault="00E371CD">
    <w:pPr>
      <w:pStyle w:val="Foote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F7BA" w14:textId="77777777" w:rsidR="00C23F53" w:rsidRDefault="00C23F53">
      <w:pPr>
        <w:spacing w:after="0" w:line="240" w:lineRule="auto"/>
      </w:pPr>
      <w:r>
        <w:separator/>
      </w:r>
    </w:p>
  </w:footnote>
  <w:footnote w:type="continuationSeparator" w:id="0">
    <w:p w14:paraId="6557C98E" w14:textId="77777777" w:rsidR="00C23F53" w:rsidRDefault="00C2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4021" w14:textId="77777777" w:rsidR="001D1D45" w:rsidRDefault="00E371CD">
    <w:pPr>
      <w:pStyle w:val="Header"/>
    </w:pPr>
    <w:r>
      <w:rPr>
        <w:sz w:val="18"/>
      </w:rPr>
      <w:t>Emodula Sustainability Strategy | Doc No.: EMO-GOV-STR-001 | Version: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76D4A"/>
    <w:multiLevelType w:val="multilevel"/>
    <w:tmpl w:val="0878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716E7"/>
    <w:multiLevelType w:val="multilevel"/>
    <w:tmpl w:val="881E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12EAB"/>
    <w:multiLevelType w:val="multilevel"/>
    <w:tmpl w:val="2DA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D65C5"/>
    <w:multiLevelType w:val="multilevel"/>
    <w:tmpl w:val="00B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919AC"/>
    <w:multiLevelType w:val="multilevel"/>
    <w:tmpl w:val="34D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122448">
    <w:abstractNumId w:val="8"/>
  </w:num>
  <w:num w:numId="2" w16cid:durableId="635724388">
    <w:abstractNumId w:val="6"/>
  </w:num>
  <w:num w:numId="3" w16cid:durableId="795680828">
    <w:abstractNumId w:val="5"/>
  </w:num>
  <w:num w:numId="4" w16cid:durableId="314146502">
    <w:abstractNumId w:val="4"/>
  </w:num>
  <w:num w:numId="5" w16cid:durableId="129514836">
    <w:abstractNumId w:val="7"/>
  </w:num>
  <w:num w:numId="6" w16cid:durableId="937443661">
    <w:abstractNumId w:val="3"/>
  </w:num>
  <w:num w:numId="7" w16cid:durableId="1065185999">
    <w:abstractNumId w:val="2"/>
  </w:num>
  <w:num w:numId="8" w16cid:durableId="1972397867">
    <w:abstractNumId w:val="1"/>
  </w:num>
  <w:num w:numId="9" w16cid:durableId="1012294516">
    <w:abstractNumId w:val="0"/>
  </w:num>
  <w:num w:numId="10" w16cid:durableId="929044549">
    <w:abstractNumId w:val="10"/>
  </w:num>
  <w:num w:numId="11" w16cid:durableId="1194730086">
    <w:abstractNumId w:val="12"/>
  </w:num>
  <w:num w:numId="12" w16cid:durableId="727345581">
    <w:abstractNumId w:val="11"/>
  </w:num>
  <w:num w:numId="13" w16cid:durableId="391851017">
    <w:abstractNumId w:val="13"/>
  </w:num>
  <w:num w:numId="14" w16cid:durableId="253127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1D45"/>
    <w:rsid w:val="0029639D"/>
    <w:rsid w:val="00326F90"/>
    <w:rsid w:val="007877DB"/>
    <w:rsid w:val="009246CA"/>
    <w:rsid w:val="00AA1D8D"/>
    <w:rsid w:val="00B47730"/>
    <w:rsid w:val="00C23F53"/>
    <w:rsid w:val="00C80F77"/>
    <w:rsid w:val="00CB0664"/>
    <w:rsid w:val="00E371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1B951"/>
  <w14:defaultImageDpi w14:val="300"/>
  <w15:docId w15:val="{7FB0F8A6-9786-4C56-A436-23C2C135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Pearson</cp:lastModifiedBy>
  <cp:revision>3</cp:revision>
  <dcterms:created xsi:type="dcterms:W3CDTF">2025-12-28T06:05:00Z</dcterms:created>
  <dcterms:modified xsi:type="dcterms:W3CDTF">2025-12-28T09:29:00Z</dcterms:modified>
  <cp:category/>
</cp:coreProperties>
</file>