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82B09" w14:textId="5758F9A8" w:rsidR="00710869" w:rsidRDefault="00000000">
      <w:pPr>
        <w:jc w:val="center"/>
      </w:pPr>
      <w:r>
        <w:rPr>
          <w:b/>
          <w:sz w:val="40"/>
        </w:rPr>
        <w:t>Emodula Net Zero 2050 Commitment &amp; Carbon Neutrality Policy</w:t>
      </w:r>
    </w:p>
    <w:p w14:paraId="7387E1C4" w14:textId="77777777" w:rsidR="00710869" w:rsidRDefault="00000000">
      <w:pPr>
        <w:pStyle w:val="Body"/>
        <w:jc w:val="center"/>
      </w:pPr>
      <w:r>
        <w:t>Audit-Ready Controlled Document</w:t>
      </w:r>
    </w:p>
    <w:p w14:paraId="3EED12D1" w14:textId="77777777" w:rsidR="00710869" w:rsidRDefault="00000000">
      <w:r>
        <w:br/>
      </w:r>
    </w:p>
    <w:p w14:paraId="27F7A415" w14:textId="77777777" w:rsidR="00710869" w:rsidRDefault="00000000">
      <w:r>
        <w:rPr>
          <w:b/>
        </w:rPr>
        <w:t>Document Control</w:t>
      </w:r>
    </w:p>
    <w:tbl>
      <w:tblPr>
        <w:tblStyle w:val="LightList"/>
        <w:tblW w:w="0" w:type="auto"/>
        <w:tblLook w:val="04A0" w:firstRow="1" w:lastRow="0" w:firstColumn="1" w:lastColumn="0" w:noHBand="0" w:noVBand="1"/>
      </w:tblPr>
      <w:tblGrid>
        <w:gridCol w:w="4976"/>
        <w:gridCol w:w="4976"/>
      </w:tblGrid>
      <w:tr w:rsidR="00710869" w14:paraId="1A36F894" w14:textId="77777777" w:rsidTr="007108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6" w:type="dxa"/>
          </w:tcPr>
          <w:p w14:paraId="625E9065" w14:textId="77777777" w:rsidR="00710869" w:rsidRDefault="00000000">
            <w:r>
              <w:t>Document Title</w:t>
            </w:r>
          </w:p>
        </w:tc>
        <w:tc>
          <w:tcPr>
            <w:tcW w:w="4986" w:type="dxa"/>
          </w:tcPr>
          <w:p w14:paraId="60D65991" w14:textId="77777777" w:rsidR="00710869" w:rsidRDefault="00000000">
            <w:pPr>
              <w:cnfStyle w:val="100000000000" w:firstRow="1" w:lastRow="0" w:firstColumn="0" w:lastColumn="0" w:oddVBand="0" w:evenVBand="0" w:oddHBand="0" w:evenHBand="0" w:firstRowFirstColumn="0" w:firstRowLastColumn="0" w:lastRowFirstColumn="0" w:lastRowLastColumn="0"/>
            </w:pPr>
            <w:r>
              <w:t>Emodula Net Zero 2050 Commitment &amp; Carbon Neutrality Policy Framework</w:t>
            </w:r>
          </w:p>
        </w:tc>
      </w:tr>
      <w:tr w:rsidR="00710869" w14:paraId="7E65E3EE" w14:textId="77777777" w:rsidTr="007108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6" w:type="dxa"/>
          </w:tcPr>
          <w:p w14:paraId="49EB04A1" w14:textId="77777777" w:rsidR="00710869" w:rsidRDefault="00000000">
            <w:r>
              <w:t>Document Code</w:t>
            </w:r>
          </w:p>
        </w:tc>
        <w:tc>
          <w:tcPr>
            <w:tcW w:w="4986" w:type="dxa"/>
          </w:tcPr>
          <w:p w14:paraId="581D7D89" w14:textId="77777777" w:rsidR="00710869" w:rsidRDefault="00000000">
            <w:pPr>
              <w:cnfStyle w:val="000000100000" w:firstRow="0" w:lastRow="0" w:firstColumn="0" w:lastColumn="0" w:oddVBand="0" w:evenVBand="0" w:oddHBand="1" w:evenHBand="0" w:firstRowFirstColumn="0" w:firstRowLastColumn="0" w:lastRowFirstColumn="0" w:lastRowLastColumn="0"/>
            </w:pPr>
            <w:r>
              <w:t>EMO-GOV-POL-___</w:t>
            </w:r>
          </w:p>
        </w:tc>
      </w:tr>
      <w:tr w:rsidR="00710869" w14:paraId="7DC9F52E" w14:textId="77777777" w:rsidTr="00710869">
        <w:tc>
          <w:tcPr>
            <w:cnfStyle w:val="001000000000" w:firstRow="0" w:lastRow="0" w:firstColumn="1" w:lastColumn="0" w:oddVBand="0" w:evenVBand="0" w:oddHBand="0" w:evenHBand="0" w:firstRowFirstColumn="0" w:firstRowLastColumn="0" w:lastRowFirstColumn="0" w:lastRowLastColumn="0"/>
            <w:tcW w:w="4986" w:type="dxa"/>
          </w:tcPr>
          <w:p w14:paraId="25E628A2" w14:textId="77777777" w:rsidR="00710869" w:rsidRDefault="00000000">
            <w:r>
              <w:t>Version / Status</w:t>
            </w:r>
          </w:p>
        </w:tc>
        <w:tc>
          <w:tcPr>
            <w:tcW w:w="4986" w:type="dxa"/>
          </w:tcPr>
          <w:p w14:paraId="09B19C68" w14:textId="77777777" w:rsidR="00710869" w:rsidRDefault="00000000">
            <w:pPr>
              <w:cnfStyle w:val="000000000000" w:firstRow="0" w:lastRow="0" w:firstColumn="0" w:lastColumn="0" w:oddVBand="0" w:evenVBand="0" w:oddHBand="0" w:evenHBand="0" w:firstRowFirstColumn="0" w:firstRowLastColumn="0" w:lastRowFirstColumn="0" w:lastRowLastColumn="0"/>
            </w:pPr>
            <w:r>
              <w:t>___ / CONTROLLED</w:t>
            </w:r>
          </w:p>
        </w:tc>
      </w:tr>
      <w:tr w:rsidR="00710869" w14:paraId="4CD7258F" w14:textId="77777777" w:rsidTr="007108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6" w:type="dxa"/>
          </w:tcPr>
          <w:p w14:paraId="47CFD6C7" w14:textId="77777777" w:rsidR="00710869" w:rsidRDefault="00000000">
            <w:r>
              <w:t>Issue Date</w:t>
            </w:r>
          </w:p>
        </w:tc>
        <w:tc>
          <w:tcPr>
            <w:tcW w:w="4986" w:type="dxa"/>
          </w:tcPr>
          <w:p w14:paraId="0B6F6DE2" w14:textId="77777777" w:rsidR="00710869" w:rsidRDefault="00000000">
            <w:pPr>
              <w:cnfStyle w:val="000000100000" w:firstRow="0" w:lastRow="0" w:firstColumn="0" w:lastColumn="0" w:oddVBand="0" w:evenVBand="0" w:oddHBand="1" w:evenHBand="0" w:firstRowFirstColumn="0" w:firstRowLastColumn="0" w:lastRowFirstColumn="0" w:lastRowLastColumn="0"/>
            </w:pPr>
            <w:r>
              <w:t>___</w:t>
            </w:r>
          </w:p>
        </w:tc>
      </w:tr>
      <w:tr w:rsidR="00710869" w14:paraId="1AA7B30F" w14:textId="77777777" w:rsidTr="00710869">
        <w:tc>
          <w:tcPr>
            <w:cnfStyle w:val="001000000000" w:firstRow="0" w:lastRow="0" w:firstColumn="1" w:lastColumn="0" w:oddVBand="0" w:evenVBand="0" w:oddHBand="0" w:evenHBand="0" w:firstRowFirstColumn="0" w:firstRowLastColumn="0" w:lastRowFirstColumn="0" w:lastRowLastColumn="0"/>
            <w:tcW w:w="4986" w:type="dxa"/>
          </w:tcPr>
          <w:p w14:paraId="74C8AA19" w14:textId="77777777" w:rsidR="00710869" w:rsidRDefault="00000000">
            <w:r>
              <w:t>Prepared by / Reviewed by / Approved by</w:t>
            </w:r>
          </w:p>
        </w:tc>
        <w:tc>
          <w:tcPr>
            <w:tcW w:w="4986" w:type="dxa"/>
          </w:tcPr>
          <w:p w14:paraId="51328867" w14:textId="77777777" w:rsidR="00710869" w:rsidRDefault="00000000">
            <w:pPr>
              <w:cnfStyle w:val="000000000000" w:firstRow="0" w:lastRow="0" w:firstColumn="0" w:lastColumn="0" w:oddVBand="0" w:evenVBand="0" w:oddHBand="0" w:evenHBand="0" w:firstRowFirstColumn="0" w:firstRowLastColumn="0" w:lastRowFirstColumn="0" w:lastRowLastColumn="0"/>
            </w:pPr>
            <w:r>
              <w:t>________________ / ________________ / ________________</w:t>
            </w:r>
          </w:p>
        </w:tc>
      </w:tr>
      <w:tr w:rsidR="00710869" w14:paraId="5E7CC6C1" w14:textId="77777777" w:rsidTr="007108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6" w:type="dxa"/>
          </w:tcPr>
          <w:p w14:paraId="2E8CFF8C" w14:textId="77777777" w:rsidR="00710869" w:rsidRDefault="00000000">
            <w:r>
              <w:t>Document Control Procedure</w:t>
            </w:r>
          </w:p>
        </w:tc>
        <w:tc>
          <w:tcPr>
            <w:tcW w:w="4986" w:type="dxa"/>
          </w:tcPr>
          <w:p w14:paraId="72346111" w14:textId="77777777" w:rsidR="00710869" w:rsidRDefault="00000000">
            <w:pPr>
              <w:cnfStyle w:val="000000100000" w:firstRow="0" w:lastRow="0" w:firstColumn="0" w:lastColumn="0" w:oddVBand="0" w:evenVBand="0" w:oddHBand="1" w:evenHBand="0" w:firstRowFirstColumn="0" w:firstRowLastColumn="0" w:lastRowFirstColumn="0" w:lastRowLastColumn="0"/>
            </w:pPr>
            <w:r>
              <w:t>EMO-GOV-PRO-001</w:t>
            </w:r>
          </w:p>
        </w:tc>
      </w:tr>
    </w:tbl>
    <w:p w14:paraId="73E1C46F" w14:textId="77777777" w:rsidR="00710869" w:rsidRDefault="00000000">
      <w:r>
        <w:rPr>
          <w:b/>
        </w:rPr>
        <w:br/>
        <w:t>Revision History</w:t>
      </w:r>
    </w:p>
    <w:tbl>
      <w:tblPr>
        <w:tblStyle w:val="LightList"/>
        <w:tblW w:w="0" w:type="auto"/>
        <w:tblLook w:val="04A0" w:firstRow="1" w:lastRow="0" w:firstColumn="1" w:lastColumn="0" w:noHBand="0" w:noVBand="1"/>
      </w:tblPr>
      <w:tblGrid>
        <w:gridCol w:w="1990"/>
        <w:gridCol w:w="1989"/>
        <w:gridCol w:w="1992"/>
        <w:gridCol w:w="1990"/>
        <w:gridCol w:w="1991"/>
      </w:tblGrid>
      <w:tr w:rsidR="00710869" w14:paraId="1FEEABCB" w14:textId="77777777" w:rsidTr="007108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4" w:type="dxa"/>
          </w:tcPr>
          <w:p w14:paraId="3739CCDD" w14:textId="77777777" w:rsidR="00710869" w:rsidRDefault="00000000">
            <w:r>
              <w:t>Version</w:t>
            </w:r>
          </w:p>
        </w:tc>
        <w:tc>
          <w:tcPr>
            <w:tcW w:w="1994" w:type="dxa"/>
          </w:tcPr>
          <w:p w14:paraId="3F74FB8C" w14:textId="77777777" w:rsidR="00710869" w:rsidRDefault="00000000">
            <w:pPr>
              <w:cnfStyle w:val="100000000000" w:firstRow="1" w:lastRow="0" w:firstColumn="0" w:lastColumn="0" w:oddVBand="0" w:evenVBand="0" w:oddHBand="0" w:evenHBand="0" w:firstRowFirstColumn="0" w:firstRowLastColumn="0" w:lastRowFirstColumn="0" w:lastRowLastColumn="0"/>
            </w:pPr>
            <w:r>
              <w:t>Date</w:t>
            </w:r>
          </w:p>
        </w:tc>
        <w:tc>
          <w:tcPr>
            <w:tcW w:w="1994" w:type="dxa"/>
          </w:tcPr>
          <w:p w14:paraId="05E30BB8" w14:textId="77777777" w:rsidR="00710869" w:rsidRDefault="00000000">
            <w:pPr>
              <w:cnfStyle w:val="100000000000" w:firstRow="1" w:lastRow="0" w:firstColumn="0" w:lastColumn="0" w:oddVBand="0" w:evenVBand="0" w:oddHBand="0" w:evenHBand="0" w:firstRowFirstColumn="0" w:firstRowLastColumn="0" w:lastRowFirstColumn="0" w:lastRowLastColumn="0"/>
            </w:pPr>
            <w:r>
              <w:t>Description of Change</w:t>
            </w:r>
          </w:p>
        </w:tc>
        <w:tc>
          <w:tcPr>
            <w:tcW w:w="1994" w:type="dxa"/>
          </w:tcPr>
          <w:p w14:paraId="72454DDC" w14:textId="77777777" w:rsidR="00710869" w:rsidRDefault="00000000">
            <w:pPr>
              <w:cnfStyle w:val="100000000000" w:firstRow="1" w:lastRow="0" w:firstColumn="0" w:lastColumn="0" w:oddVBand="0" w:evenVBand="0" w:oddHBand="0" w:evenHBand="0" w:firstRowFirstColumn="0" w:firstRowLastColumn="0" w:lastRowFirstColumn="0" w:lastRowLastColumn="0"/>
            </w:pPr>
            <w:r>
              <w:t>Author</w:t>
            </w:r>
          </w:p>
        </w:tc>
        <w:tc>
          <w:tcPr>
            <w:tcW w:w="1994" w:type="dxa"/>
          </w:tcPr>
          <w:p w14:paraId="67C8DDB7" w14:textId="77777777" w:rsidR="00710869" w:rsidRDefault="00000000">
            <w:pPr>
              <w:cnfStyle w:val="100000000000" w:firstRow="1" w:lastRow="0" w:firstColumn="0" w:lastColumn="0" w:oddVBand="0" w:evenVBand="0" w:oddHBand="0" w:evenHBand="0" w:firstRowFirstColumn="0" w:firstRowLastColumn="0" w:lastRowFirstColumn="0" w:lastRowLastColumn="0"/>
            </w:pPr>
            <w:r>
              <w:t>Approved By</w:t>
            </w:r>
          </w:p>
        </w:tc>
      </w:tr>
      <w:tr w:rsidR="00710869" w14:paraId="1EF8E1F3" w14:textId="77777777" w:rsidTr="007108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4" w:type="dxa"/>
          </w:tcPr>
          <w:p w14:paraId="22415D52" w14:textId="77777777" w:rsidR="00710869" w:rsidRDefault="00710869"/>
        </w:tc>
        <w:tc>
          <w:tcPr>
            <w:tcW w:w="1994" w:type="dxa"/>
          </w:tcPr>
          <w:p w14:paraId="40A5CCB5" w14:textId="77777777" w:rsidR="00710869" w:rsidRDefault="00710869">
            <w:pPr>
              <w:cnfStyle w:val="000000100000" w:firstRow="0" w:lastRow="0" w:firstColumn="0" w:lastColumn="0" w:oddVBand="0" w:evenVBand="0" w:oddHBand="1" w:evenHBand="0" w:firstRowFirstColumn="0" w:firstRowLastColumn="0" w:lastRowFirstColumn="0" w:lastRowLastColumn="0"/>
            </w:pPr>
          </w:p>
        </w:tc>
        <w:tc>
          <w:tcPr>
            <w:tcW w:w="1994" w:type="dxa"/>
          </w:tcPr>
          <w:p w14:paraId="33AB2541" w14:textId="77777777" w:rsidR="00710869" w:rsidRDefault="00710869">
            <w:pPr>
              <w:cnfStyle w:val="000000100000" w:firstRow="0" w:lastRow="0" w:firstColumn="0" w:lastColumn="0" w:oddVBand="0" w:evenVBand="0" w:oddHBand="1" w:evenHBand="0" w:firstRowFirstColumn="0" w:firstRowLastColumn="0" w:lastRowFirstColumn="0" w:lastRowLastColumn="0"/>
            </w:pPr>
          </w:p>
        </w:tc>
        <w:tc>
          <w:tcPr>
            <w:tcW w:w="1994" w:type="dxa"/>
          </w:tcPr>
          <w:p w14:paraId="47C0FEDD" w14:textId="77777777" w:rsidR="00710869" w:rsidRDefault="00710869">
            <w:pPr>
              <w:cnfStyle w:val="000000100000" w:firstRow="0" w:lastRow="0" w:firstColumn="0" w:lastColumn="0" w:oddVBand="0" w:evenVBand="0" w:oddHBand="1" w:evenHBand="0" w:firstRowFirstColumn="0" w:firstRowLastColumn="0" w:lastRowFirstColumn="0" w:lastRowLastColumn="0"/>
            </w:pPr>
          </w:p>
        </w:tc>
        <w:tc>
          <w:tcPr>
            <w:tcW w:w="1994" w:type="dxa"/>
          </w:tcPr>
          <w:p w14:paraId="51FE2C5E" w14:textId="77777777" w:rsidR="00710869" w:rsidRDefault="00710869">
            <w:pPr>
              <w:cnfStyle w:val="000000100000" w:firstRow="0" w:lastRow="0" w:firstColumn="0" w:lastColumn="0" w:oddVBand="0" w:evenVBand="0" w:oddHBand="1" w:evenHBand="0" w:firstRowFirstColumn="0" w:firstRowLastColumn="0" w:lastRowFirstColumn="0" w:lastRowLastColumn="0"/>
            </w:pPr>
          </w:p>
        </w:tc>
      </w:tr>
    </w:tbl>
    <w:p w14:paraId="4D00EBE9" w14:textId="77777777" w:rsidR="00710869" w:rsidRDefault="00000000">
      <w:r>
        <w:br/>
      </w:r>
    </w:p>
    <w:p w14:paraId="3767322C" w14:textId="77777777" w:rsidR="00710869" w:rsidRDefault="00000000">
      <w:r>
        <w:rPr>
          <w:b/>
        </w:rPr>
        <w:t>Table of Contents (insert via Word → References → Table of Contents)</w:t>
      </w:r>
    </w:p>
    <w:p w14:paraId="0CFC8460" w14:textId="77777777" w:rsidR="00710869" w:rsidRDefault="00000000">
      <w:pPr>
        <w:pStyle w:val="Heading1"/>
      </w:pPr>
      <w:r>
        <w:t>1) Policy Statement</w:t>
      </w:r>
    </w:p>
    <w:p w14:paraId="148B34C4" w14:textId="77777777" w:rsidR="00710869" w:rsidRDefault="00000000">
      <w:pPr>
        <w:pStyle w:val="Body"/>
      </w:pPr>
      <w:r>
        <w:t>Emodula commits to achieve Net Zero greenhouse‑gas emissions by 2050 across Scopes 1–3 and to maintain Carbon Neutrality for residual, hard‑to‑abate corporate emissions. Our approach is evidence‑led and aligned to recognised standards: the GHG Protocol for corporate accounting, EN 15978 for whole‑life carbon assessment (A–C with Module D disclosed separately), and PAS 2080 for leadership, collaboration, quantification, and continual improvement. We apply a disciplined hierarchy of action—Avoid → Reduce → Substitute → Recover → Offset (residual only)—and we disclose removals transparently, separate from gross emissions.</w:t>
      </w:r>
    </w:p>
    <w:p w14:paraId="3B740F42" w14:textId="77777777" w:rsidR="00710869" w:rsidRDefault="00710869">
      <w:pPr>
        <w:pStyle w:val="Body"/>
      </w:pPr>
    </w:p>
    <w:p w14:paraId="6E7A1876" w14:textId="77777777" w:rsidR="00710869" w:rsidRDefault="00000000">
      <w:pPr>
        <w:pStyle w:val="Body"/>
      </w:pPr>
      <w:r>
        <w:t>Within organisational control, the policy covers our all‑electric factory and office operations, outbound logistics and cranage, supplier engagement, end‑of‑life pathways for modular products. Corporate reporting distinguishes Scopes 2 and selected Scope 3 categories from project‑level whole‑life carbon, avoiding double counting while enabling decision‑making on design, energy, logistics, maintenance, and recovery.</w:t>
      </w:r>
    </w:p>
    <w:p w14:paraId="5D095DA1" w14:textId="77777777" w:rsidR="00710869" w:rsidRDefault="00710869">
      <w:pPr>
        <w:pStyle w:val="Body"/>
      </w:pPr>
    </w:p>
    <w:p w14:paraId="4B59BF95" w14:textId="77777777" w:rsidR="00710869" w:rsidRDefault="00000000">
      <w:pPr>
        <w:pStyle w:val="Body"/>
      </w:pPr>
      <w:r>
        <w:lastRenderedPageBreak/>
        <w:t>Governance is embedded. The Board sets policy and approves targets and public disclosures. The Carbon Steering Group reviews performance quarterly, manages risks and opportunities, and arbitrates trade‑offs between cost, schedule, and carbon. The Sustainability Lead owns the inventory, factor stewardship, data registers, and assurance; Project Carbon Leads apply EN 15978 methods at programme level; Procurement embeds carbon criteria in sourcing and take‑back; Operations implement efficiency and data capture.</w:t>
      </w:r>
    </w:p>
    <w:p w14:paraId="4D1785A7" w14:textId="77777777" w:rsidR="00710869" w:rsidRDefault="00710869">
      <w:pPr>
        <w:pStyle w:val="Body"/>
      </w:pPr>
    </w:p>
    <w:p w14:paraId="1A6F3F4C" w14:textId="77777777" w:rsidR="00710869" w:rsidRDefault="00000000">
      <w:pPr>
        <w:pStyle w:val="Body"/>
      </w:pPr>
      <w:r>
        <w:t>We will publish an annual Carbon Reduction Plan summarising baselines, progress, and measures, maintain controlled annexes as the single source of truth, and recalculate baselines when structural, boundary, or methodological changes are material. This Policy Statement is effective on issue and applies to all Emodula activities.</w:t>
      </w:r>
    </w:p>
    <w:p w14:paraId="6B4981D3" w14:textId="77777777" w:rsidR="00710869" w:rsidRDefault="00710869"/>
    <w:p w14:paraId="7E066872" w14:textId="77777777" w:rsidR="00710869" w:rsidRDefault="00000000">
      <w:pPr>
        <w:pStyle w:val="Heading1"/>
      </w:pPr>
      <w:r>
        <w:t>2) Scope &amp; Reporting Boundary</w:t>
      </w:r>
    </w:p>
    <w:p w14:paraId="30845938" w14:textId="77777777" w:rsidR="00710869" w:rsidRDefault="00000000">
      <w:pPr>
        <w:pStyle w:val="Body"/>
      </w:pPr>
      <w:r>
        <w:t>This Framework adopts operational control as Emodula’s organisational boundary. It covers activities undertaken at our all‑electric factory and office in North Lincolnshire, together with controlled logistics and installation interfaces. At present Scope 1 (direct combustion) is nil; Scope 2 comprises purchased electricity for the factory and office; and selected Scope 3 categories include employee commuting and cranage/install fuels associated with module installation. Where appropriate, electricity may be disclosed location‑based (UK grid factor) alongside market‑based reporting if supplier certificates are available, with both clearly distinguished.</w:t>
      </w:r>
    </w:p>
    <w:p w14:paraId="605F7A3B" w14:textId="77777777" w:rsidR="00710869" w:rsidRDefault="00710869">
      <w:pPr>
        <w:pStyle w:val="Body"/>
      </w:pPr>
    </w:p>
    <w:p w14:paraId="49E10ED0" w14:textId="77777777" w:rsidR="00710869" w:rsidRDefault="00000000">
      <w:pPr>
        <w:pStyle w:val="Body"/>
      </w:pPr>
      <w:r>
        <w:t>To avoid double counting, Emodula separates the corporate GHG inventory from project‑level Whole‑Life Carbon (WLC). Corporate reporting totals only Scope 2 and the selected Scope 3 categories defined above. All project system‑level impacts are assessed and reported under EN 15978, namely A4 transport to site, A5 site cranage, B1–B7 use‑phase (maintenance, energy, water), and C1–C4 end‑of‑life. Module D benefits (material recovery or reuse beyond the system boundary) are disclosed separately and not netted into A–C nor mixed into corporate totals.</w:t>
      </w:r>
    </w:p>
    <w:p w14:paraId="5A02122F" w14:textId="77777777" w:rsidR="00710869" w:rsidRDefault="00710869">
      <w:pPr>
        <w:pStyle w:val="Body"/>
      </w:pPr>
    </w:p>
    <w:p w14:paraId="1C808000" w14:textId="77777777" w:rsidR="00710869" w:rsidRDefault="00000000">
      <w:pPr>
        <w:pStyle w:val="Body"/>
      </w:pPr>
      <w:r>
        <w:t>Data registers act as the single source of truth. The Data_Register holds every activity datum with owners, status/confidence, evidence links, and applicable emission‑factor sources; EF_Sources maintains factor provenance (publisher, region, vintage) and change‑logs to support transparent recalculation. Evidence includes supplier bills and meter reads for Scope 2; HR mode‑share surveys, parking/charging logs, and anonymised mileage summaries for commuting; and site logs, hire sheets, and fuel declarations for cranage/install.</w:t>
      </w:r>
    </w:p>
    <w:p w14:paraId="08BB3B32" w14:textId="77777777" w:rsidR="00710869" w:rsidRDefault="00710869">
      <w:pPr>
        <w:pStyle w:val="Body"/>
      </w:pPr>
    </w:p>
    <w:p w14:paraId="11DAB3AD" w14:textId="77777777" w:rsidR="00710869" w:rsidRDefault="00000000">
      <w:pPr>
        <w:pStyle w:val="Body"/>
      </w:pPr>
      <w:r>
        <w:t xml:space="preserve">Boundary changes or method updates trigger Emodula’s baseline recalculation policy. Structural shifts (e.g., facility additions), inclusion of materially significant Scope 3 categories (e.g., purchased goods and services </w:t>
      </w:r>
      <w:r>
        <w:lastRenderedPageBreak/>
        <w:t>when data quality is sufficient), or primary dataset revisions are assessed by the Carbon Steering Group; approved changes are documented with pre/post snapshots, and disclosures are updated accordingly.</w:t>
      </w:r>
    </w:p>
    <w:p w14:paraId="3B4ED1DE" w14:textId="77777777" w:rsidR="00710869" w:rsidRDefault="00710869"/>
    <w:p w14:paraId="59D6124E" w14:textId="77777777" w:rsidR="00710869" w:rsidRDefault="00000000">
      <w:pPr>
        <w:pStyle w:val="Heading1"/>
      </w:pPr>
      <w:r>
        <w:t>3) Baseline (Calendar Year 2026) &amp; Key Metrics</w:t>
      </w:r>
    </w:p>
    <w:p w14:paraId="1BA97F12" w14:textId="77777777" w:rsidR="00710869" w:rsidRDefault="00000000">
      <w:pPr>
        <w:pStyle w:val="Body"/>
      </w:pPr>
      <w:proofErr w:type="spellStart"/>
      <w:r>
        <w:t>Emodula’s</w:t>
      </w:r>
      <w:proofErr w:type="spellEnd"/>
      <w:r>
        <w:t xml:space="preserve"> corporate greenhouse‑gas (GHG) baseline for calendar year 2026 is grounded in metered activity data and standardised emission factors, compiled in the Emodula Carbon Calculation Report and supported by the Carbon Calculation Figures workbook. The organisational boundary follows operational control for our all‑electric factory and office. Scope 2 covers purchased electricity; selected Scope 3 categories cover employee commuting and cranage/install fuels. Electricity is reported location‑based using 0.233 kgCO₂e/kWh; diesel uses 2.68 kgCO₂e/L; commuting is calculated with DEFRA per‑kilometre factors. These totals and intensities underpin governance, target‑setting, and monthly dashboards.</w:t>
      </w:r>
    </w:p>
    <w:p w14:paraId="507C9F7E" w14:textId="77777777" w:rsidR="00710869" w:rsidRDefault="00710869">
      <w:pPr>
        <w:pStyle w:val="Body"/>
      </w:pPr>
    </w:p>
    <w:p w14:paraId="57FF8953" w14:textId="77777777" w:rsidR="00710869" w:rsidRDefault="00000000">
      <w:pPr>
        <w:pStyle w:val="Body"/>
      </w:pPr>
      <w:r>
        <w:t>Corporate 2026 baseline (Scopes 2 + selected Scope 3). Factory and office electricity total 27,754 kWh, yielding 6,467 kgCO₂e in Scope 2 (factory 22,894 kWh; office 4,860 kWh). Employee commuting totals 183,851 km, calculated at 33,093 kgCO₂e. Cranage/install diesel totals 1,920 L, calculated at 5,146 kgCO₂e. Combined, the reported corporate total is 44,706 kgCO₂e. These figures form the starting point for Emodula’s absolute and intensity reductions and are reconciled to bills, meter reads, HR survey outputs, and site logs retained under document control.</w:t>
      </w:r>
    </w:p>
    <w:p w14:paraId="01442C38" w14:textId="77777777" w:rsidR="00710869" w:rsidRDefault="00710869">
      <w:pPr>
        <w:pStyle w:val="Body"/>
      </w:pPr>
    </w:p>
    <w:p w14:paraId="2F610582" w14:textId="77777777" w:rsidR="00710869" w:rsidRDefault="00000000">
      <w:pPr>
        <w:pStyle w:val="Body"/>
      </w:pPr>
      <w:r>
        <w:t>Intensity metrics (for monitoring). To normalise performance when throughput varies, Emodula tracks intensity per output using the baseline planning throughput of 48 modules/year. Corporate intensity is ~931 kgCO₂e per module for Scopes 2 + selected Scope 3; if reported on an assumed 40 m² per module basis, intensity is ~23 kgCO₂e/m². Intensity metrics are used alongside absolute totals in monthly dashboards and quarterly Carbon Steering Group reviews to separate volume effects from genuine efficiency gains.</w:t>
      </w:r>
    </w:p>
    <w:p w14:paraId="381D29AA" w14:textId="77777777" w:rsidR="00710869" w:rsidRDefault="00710869">
      <w:pPr>
        <w:pStyle w:val="Body"/>
      </w:pPr>
    </w:p>
    <w:p w14:paraId="51D43124" w14:textId="77777777" w:rsidR="00710869" w:rsidRDefault="00000000">
      <w:pPr>
        <w:pStyle w:val="Body"/>
      </w:pPr>
      <w:r>
        <w:t>Project‑level Whole‑Life Carbon (informative; not mixed with corporate totals). At module level, Emodula assesses WLC across EN 15978 stages. Current per‑module results show an A4–C subtotal of 196,911 kgCO₂e; an example Module D material‑recovery credit of −30,190 kgCO₂e (steel, aluminium, timber recovery) yields 166,721 kgCO₂e including D, which is disclosed separately. Notable stage drivers include B6 operational energy (169,800 kgCO₂e over a 100‑year reference study period under a linear grid‑decarbonisation scenario), A4 transport (2,976 kgCO₂e), and A5 cranage (5,146 kgCO₂e), with B1–B5 maintenance (16,000 kgCO₂e) and B7 water (1,700 kgCO₂e) also recorded.</w:t>
      </w:r>
    </w:p>
    <w:p w14:paraId="546E1415" w14:textId="77777777" w:rsidR="00710869" w:rsidRDefault="00710869">
      <w:pPr>
        <w:pStyle w:val="Body"/>
      </w:pPr>
    </w:p>
    <w:p w14:paraId="1E0559F3" w14:textId="77777777" w:rsidR="00710869" w:rsidRDefault="00000000">
      <w:pPr>
        <w:pStyle w:val="Body"/>
      </w:pPr>
      <w:r>
        <w:t xml:space="preserve">Data quality, assurance, and recalculation. Activity data and factor provenance are maintained in the central registers (Data_Register, EF_Sources) with status/confidence tags and links to evidence. Baseline recalculation is triggered by material structural or boundary changes (e.g., inclusion of additional Scope 3 categories when </w:t>
      </w:r>
      <w:r>
        <w:lastRenderedPageBreak/>
        <w:t>data quality is sufficient) or methodological shifts (e.g., factor updates); pre/post snapshots are retained for audit. External assurance may be commissioned for major tenders or annual public CRP publication to strengthen credibility.</w:t>
      </w:r>
    </w:p>
    <w:p w14:paraId="33D2354B" w14:textId="77777777" w:rsidR="00710869" w:rsidRDefault="00710869"/>
    <w:p w14:paraId="225349C7" w14:textId="77777777" w:rsidR="00710869" w:rsidRDefault="00000000">
      <w:pPr>
        <w:pStyle w:val="Heading1"/>
      </w:pPr>
      <w:r>
        <w:t>4) Net Zero 2050 Trajectory &amp; Interim Targets</w:t>
      </w:r>
    </w:p>
    <w:p w14:paraId="312DF308" w14:textId="77777777" w:rsidR="00710869" w:rsidRDefault="00000000">
      <w:pPr>
        <w:pStyle w:val="Body"/>
      </w:pPr>
      <w:r>
        <w:t>Emodula adopts a disciplined reduction pathway to Net Zero by 2050, underpinned by operational measures, supply‑chain engagement, and formal governance. Against the 2026 corporate baseline of 44,706 kgCO₂e (Scope 2 electricity and selected Scope 3: employee commuting and cranage/install fuels), our total‑emissions milestones are: ~15% reduction by 2028, 40% by 2030, 59% by 2035, 76% by 2040, and 88% by 2050 (pre‑residual neutrality). These waypoints are derived from a category plan that specifies realistic levers and verification evidence and are reviewed annually by the Board on recommendation from the Carbon Steering Group (CSG).</w:t>
      </w:r>
    </w:p>
    <w:p w14:paraId="4AD14D73" w14:textId="77777777" w:rsidR="00710869" w:rsidRDefault="00710869">
      <w:pPr>
        <w:pStyle w:val="Body"/>
      </w:pPr>
    </w:p>
    <w:p w14:paraId="5A9522EC" w14:textId="77777777" w:rsidR="00710869" w:rsidRDefault="00000000">
      <w:pPr>
        <w:pStyle w:val="Body"/>
      </w:pPr>
      <w:r>
        <w:t>Category targets and levers.</w:t>
      </w:r>
    </w:p>
    <w:p w14:paraId="26699206" w14:textId="77777777" w:rsidR="00710869" w:rsidRDefault="00000000">
      <w:pPr>
        <w:pStyle w:val="Body"/>
      </w:pPr>
      <w:r>
        <w:t>Scope 2 (electricity): ≥60% reduction by 2030, ≥90% by 2040. Measures: metering/sub‑metering with monthly exports to the Data_Register, LED and controls uplift (occupancy/daylight), plug‑load policies, and on‑site PV (Phase 1 then scale‑up). Evidence: bills vs meter/PV logs; % loads metered; PV self‑consumption ratio. Location‑based factors (0.233 kgCO₂e/kWh) are reported; market‑based disclosures may be added where supplier certificates exist and will be distinguished clearly.</w:t>
      </w:r>
    </w:p>
    <w:p w14:paraId="3B13C54D" w14:textId="77777777" w:rsidR="00710869" w:rsidRDefault="00710869">
      <w:pPr>
        <w:pStyle w:val="Body"/>
      </w:pPr>
    </w:p>
    <w:p w14:paraId="0084DBA4" w14:textId="77777777" w:rsidR="00710869" w:rsidRDefault="00000000">
      <w:pPr>
        <w:pStyle w:val="Body"/>
      </w:pPr>
      <w:r>
        <w:t>Employee commuting (selected Scope 3): 10% by 2028, ≥30% by 2030, ≥70% by 2040, ≥85% by 2050. Measures: verified car‑share pods with preferred parking; workplace EV charging paired with PV; shift pattern optimisation where practicable; quarterly mode‑share surveys with reconciliation to parking/charging logs. KPIs: % car‑share, % EV, total km/quarter, commuting kgCO₂e. Evidence retained under document control.</w:t>
      </w:r>
    </w:p>
    <w:p w14:paraId="03EACCB1" w14:textId="77777777" w:rsidR="00710869" w:rsidRDefault="00710869">
      <w:pPr>
        <w:pStyle w:val="Body"/>
      </w:pPr>
    </w:p>
    <w:p w14:paraId="61BB58EC" w14:textId="77777777" w:rsidR="00710869" w:rsidRDefault="00000000">
      <w:pPr>
        <w:pStyle w:val="Body"/>
      </w:pPr>
      <w:r>
        <w:t>Cranage &amp; install fuels (selected Scope 3): 30% by 2028, ≥80% by 2030, ≥95% by 2040. Measures: supplier declarations of litres/fuel type/engine standard; certified renewable diesel (e.g., HVO) pilots and scale‑up where credible and compatible; feasibility of electrified/hybrid cranage on suitable sites; tighter installation sequencing to minimise idle time. KPIs: litres by fuel type per module; % lifts on HVO/electric; cranage kgCO₂e/module; average lift duration.</w:t>
      </w:r>
    </w:p>
    <w:p w14:paraId="6B4F4B07" w14:textId="77777777" w:rsidR="00710869" w:rsidRDefault="00710869">
      <w:pPr>
        <w:pStyle w:val="Body"/>
      </w:pPr>
    </w:p>
    <w:p w14:paraId="5BFE3EB5" w14:textId="77777777" w:rsidR="00710869" w:rsidRDefault="00000000">
      <w:pPr>
        <w:pStyle w:val="Body"/>
      </w:pPr>
      <w:r>
        <w:t>Intensity trajectory. Emodula tracks intensity alongside absolutes to avoid volume bias. Baseline planning throughput is 48 modules/year; corporate intensity is ~931 kgCO₂e/module (Scopes 2 + selected Scope 3). As reductions land, intensity KPIs are expected to follow the total‑emissions trajectory; where output changes materially, variance explanations are recorded in quarterly CSG reviews.</w:t>
      </w:r>
    </w:p>
    <w:p w14:paraId="43B886A3" w14:textId="77777777" w:rsidR="00710869" w:rsidRDefault="00710869">
      <w:pPr>
        <w:pStyle w:val="Body"/>
      </w:pPr>
    </w:p>
    <w:p w14:paraId="1911EFBD" w14:textId="77777777" w:rsidR="00710869" w:rsidRDefault="00000000">
      <w:pPr>
        <w:pStyle w:val="Body"/>
      </w:pPr>
      <w:r>
        <w:t>Governance and recalculation. Progress is monitored through the monthly operations dashboard (electricity kWh, Scope 2 estimate, commuting snapshots, cranage litres/fuel) and quarterly CSG reviews (risks, corrective actions, supply‑chain status, baseline‑recalculation triggers). Baseline recalculation is enacted for material structural/boundary/method changes (e.g., inclusion of additional Scope 3 categories when data quality is sufficient; EF dataset revisions). Pre/post snapshots are retained in the controlled register and public disclosures updated as required.</w:t>
      </w:r>
    </w:p>
    <w:p w14:paraId="6026D4F0" w14:textId="77777777" w:rsidR="00710869" w:rsidRDefault="00710869">
      <w:pPr>
        <w:pStyle w:val="Body"/>
      </w:pPr>
    </w:p>
    <w:p w14:paraId="4CC3ECA1" w14:textId="77777777" w:rsidR="00710869" w:rsidRDefault="00000000">
      <w:pPr>
        <w:pStyle w:val="Body"/>
      </w:pPr>
      <w:r>
        <w:t>Residual neutrality (2050). Hard‑to‑abate residuals will be neutralised using high‑quality removals, applied only after exhausting avoid/reduce/substitute/recover measures. Removals are disclosed separately from gross emissions and governed under procurement/compliance controls.</w:t>
      </w:r>
    </w:p>
    <w:p w14:paraId="73BA45ED" w14:textId="77777777" w:rsidR="00710869" w:rsidRDefault="00710869"/>
    <w:p w14:paraId="4C198C9C" w14:textId="77777777" w:rsidR="00710869" w:rsidRDefault="00000000">
      <w:pPr>
        <w:pStyle w:val="Heading1"/>
      </w:pPr>
      <w:r>
        <w:t>5) Carbon Neutrality Principles (Residuals)</w:t>
      </w:r>
    </w:p>
    <w:p w14:paraId="66B283E2" w14:textId="77777777" w:rsidR="00710869" w:rsidRDefault="00000000">
      <w:pPr>
        <w:pStyle w:val="Body"/>
      </w:pPr>
      <w:r>
        <w:t xml:space="preserve">Emodula will </w:t>
      </w:r>
      <w:proofErr w:type="spellStart"/>
      <w:r>
        <w:t>neutralise</w:t>
      </w:r>
      <w:proofErr w:type="spellEnd"/>
      <w:r>
        <w:t xml:space="preserve"> only hard‑to‑abate residual emissions after exhausting feasible abatement across avoid → reduce → substitute → recover measures. Carbon neutrality is governed by the following principles and controls:</w:t>
      </w:r>
    </w:p>
    <w:p w14:paraId="697A6079" w14:textId="77777777" w:rsidR="00710869" w:rsidRDefault="00710869">
      <w:pPr>
        <w:pStyle w:val="Body"/>
      </w:pPr>
    </w:p>
    <w:p w14:paraId="16D3E6F7" w14:textId="77777777" w:rsidR="00710869" w:rsidRDefault="00000000">
      <w:pPr>
        <w:pStyle w:val="Body"/>
      </w:pPr>
      <w:r>
        <w:t>Quality &amp; eligibility: Credits must be removals‑focused (not avoidance‑only) and evidence additionality, durability/permanence, conservative quantification, independent verification, and traceable chain‑of‑custody. Eligible instruments are issued on recognised registries; each unit is uniquely serialised and retired to Emodula.</w:t>
      </w:r>
    </w:p>
    <w:p w14:paraId="5A503F83" w14:textId="77777777" w:rsidR="00710869" w:rsidRDefault="00710869">
      <w:pPr>
        <w:pStyle w:val="Body"/>
      </w:pPr>
    </w:p>
    <w:p w14:paraId="53A15DC1" w14:textId="77777777" w:rsidR="00710869" w:rsidRDefault="00000000">
      <w:pPr>
        <w:pStyle w:val="Body"/>
      </w:pPr>
      <w:r>
        <w:t>Transparency &amp; separation: Gross emissions and removals are disclosed separately; neutrality claims never mask underperformance against reduction targets. Module D benefits remain outside corporate totals and are not used for neutrality.</w:t>
      </w:r>
    </w:p>
    <w:p w14:paraId="709694CB" w14:textId="77777777" w:rsidR="00710869" w:rsidRDefault="00710869">
      <w:pPr>
        <w:pStyle w:val="Body"/>
      </w:pPr>
    </w:p>
    <w:p w14:paraId="5BD72E39" w14:textId="77777777" w:rsidR="00710869" w:rsidRDefault="00000000">
      <w:pPr>
        <w:pStyle w:val="Body"/>
      </w:pPr>
      <w:r>
        <w:t>Governance &amp; procurement: Procurement sources credits via pre‑qualified providers; Compliance validates instrument type, project documentation, registry records, and retirement certificates; the Carbon Steering Group (CSG) approves annual neutrality volumes and supplier panels. Conflicts of interest are declared; market risk, vintage risk, and reversal risk are assessed before purchase.</w:t>
      </w:r>
    </w:p>
    <w:p w14:paraId="691531EC" w14:textId="77777777" w:rsidR="00710869" w:rsidRDefault="00710869">
      <w:pPr>
        <w:pStyle w:val="Body"/>
      </w:pPr>
    </w:p>
    <w:p w14:paraId="6D29162E" w14:textId="77777777" w:rsidR="00710869" w:rsidRDefault="00000000">
      <w:pPr>
        <w:pStyle w:val="Body"/>
      </w:pPr>
      <w:r>
        <w:t>Limits &amp; thresholds: Annual neutrality may address only verified residuals remaining after planned reductions. Preference is given to durable removals (e.g., long‑lived biogenic storage or geological sequestration). Vintage is ≤ three years and project monitoring must exceed the intended claim period; buffer pools or insurance are required for reversal‑prone projects.</w:t>
      </w:r>
    </w:p>
    <w:p w14:paraId="5C44CEAE" w14:textId="77777777" w:rsidR="00710869" w:rsidRDefault="00710869">
      <w:pPr>
        <w:pStyle w:val="Body"/>
      </w:pPr>
    </w:p>
    <w:p w14:paraId="56B9DFAC" w14:textId="77777777" w:rsidR="00710869" w:rsidRDefault="00000000">
      <w:pPr>
        <w:pStyle w:val="Body"/>
      </w:pPr>
      <w:r>
        <w:t>Assurance &amp; records: Evidence packs (contracts, project descriptions, monitoring reports, registry retirements) are stored under document control for seven years. An annual assurance review samples calculations, procurement files, and retirements and reports findings to the Board. Neutrality decisions are minuted, dated, cross‑referenced to inventories, and communicated in the public CRP, with evidential links retained internally.</w:t>
      </w:r>
    </w:p>
    <w:p w14:paraId="67744D50" w14:textId="77777777" w:rsidR="00710869" w:rsidRDefault="00710869"/>
    <w:p w14:paraId="73C6E04F" w14:textId="77777777" w:rsidR="00710869" w:rsidRDefault="00000000">
      <w:pPr>
        <w:pStyle w:val="Heading1"/>
      </w:pPr>
      <w:r>
        <w:t>6) Reduction Pathways (Measures, Owners, KPIs)</w:t>
      </w:r>
    </w:p>
    <w:p w14:paraId="7B00EA5F" w14:textId="77777777" w:rsidR="00710869" w:rsidRDefault="00000000">
      <w:pPr>
        <w:pStyle w:val="Body"/>
      </w:pPr>
      <w:r>
        <w:t>Purpose and approach.</w:t>
      </w:r>
    </w:p>
    <w:p w14:paraId="6D2C3F63" w14:textId="77777777" w:rsidR="00710869" w:rsidRDefault="00000000">
      <w:pPr>
        <w:pStyle w:val="Body"/>
      </w:pPr>
      <w:r>
        <w:t>This section translates Emodula’s Net Zero pathway into concrete actions for the three corporate hotspots in the 2026 baseline—Scope 2 electricity, employee commuting (selected Scope 3), and cranage/install fuels (selected Scope 3)—while maintaining a clean interface to project‑level whole‑life carbon (WLC) so we avoid double counting and keep corporate reporting distinct from EN 15978 A–C with Module D disclosed separately. Measures are owned by named roles, tracked via specific KPIs, and evidenced through the controlled Data_Register and EF_Sources with reconciliations to bills, logs, and declarations.</w:t>
      </w:r>
    </w:p>
    <w:p w14:paraId="5588A2FD" w14:textId="77777777" w:rsidR="00710869" w:rsidRDefault="00710869">
      <w:pPr>
        <w:pStyle w:val="Body"/>
      </w:pPr>
    </w:p>
    <w:p w14:paraId="75E19EA5" w14:textId="77777777" w:rsidR="00710869" w:rsidRDefault="00000000">
      <w:pPr>
        <w:pStyle w:val="Body"/>
      </w:pPr>
      <w:r>
        <w:t>6.1 Factory &amp; Office (Scope 2 electricity)</w:t>
      </w:r>
    </w:p>
    <w:p w14:paraId="6B901EDE" w14:textId="77777777" w:rsidR="00710869" w:rsidRDefault="00000000">
      <w:pPr>
        <w:pStyle w:val="Body"/>
      </w:pPr>
      <w:r>
        <w:t>Objective: Reduce purchased electricity emissions while building sub‑metered insight and the capability to disclose both location‑based and (where available) market‑based factors without ambiguity. Targets: ≥60% reduction by 2030; ≥90% by 2040.</w:t>
      </w:r>
    </w:p>
    <w:p w14:paraId="12FD1F77" w14:textId="77777777" w:rsidR="00710869" w:rsidRDefault="00710869">
      <w:pPr>
        <w:pStyle w:val="Body"/>
      </w:pPr>
    </w:p>
    <w:p w14:paraId="13ACD29A" w14:textId="77777777" w:rsidR="00710869" w:rsidRDefault="00000000">
      <w:pPr>
        <w:pStyle w:val="Body"/>
      </w:pPr>
      <w:r>
        <w:t>Measures (sequenced):</w:t>
      </w:r>
    </w:p>
    <w:p w14:paraId="68182487" w14:textId="77777777" w:rsidR="00710869" w:rsidRDefault="00000000">
      <w:pPr>
        <w:pStyle w:val="Body"/>
      </w:pPr>
      <w:r>
        <w:t>M1 — Metering &amp; sub‑metering. Install/activate submeters across main panels, production lines, lighting rows, forklift/charger circuits, and welfare loads. Configure a monthly export (CSV/PDF) into Data_Register with owner, status, confidence, and evidence links; reconcile to supplier bills (±5% variance tolerance) and raise exceptions where needed. Owner: Sustainability Lead (method/dashboard) with Facilities (hardware &amp; reads). Evidence: bills, meter/submeter exports.</w:t>
      </w:r>
    </w:p>
    <w:p w14:paraId="013E2CEF" w14:textId="77777777" w:rsidR="00710869" w:rsidRDefault="00710869">
      <w:pPr>
        <w:pStyle w:val="Body"/>
      </w:pPr>
    </w:p>
    <w:p w14:paraId="494E70CA" w14:textId="77777777" w:rsidR="00710869" w:rsidRDefault="00000000">
      <w:pPr>
        <w:pStyle w:val="Body"/>
      </w:pPr>
      <w:r>
        <w:t>M2 — Lighting &amp; controls uplift. Complete a lighting audit; implement occupancy sensors, daylight dimming, and zoning. Owner: Facilities. Evidence: commissioning sheets, before/after kWh and lux checks, photos of installations. KPI: lighting kWh share; kWh per module.</w:t>
      </w:r>
    </w:p>
    <w:p w14:paraId="6149D66A" w14:textId="77777777" w:rsidR="00710869" w:rsidRDefault="00710869">
      <w:pPr>
        <w:pStyle w:val="Body"/>
      </w:pPr>
    </w:p>
    <w:p w14:paraId="68B38E6D" w14:textId="77777777" w:rsidR="00710869" w:rsidRDefault="00000000">
      <w:pPr>
        <w:pStyle w:val="Body"/>
      </w:pPr>
      <w:r>
        <w:lastRenderedPageBreak/>
        <w:t>M3 — Plug‑load optimisation. Establish a “power‑down” SOP for tool charging, portable heaters, compressors, vending, and small IT loads; add visual controls on line‑side charging points. Owner: Production. KPI: non‑process kWh share; exception close‑out rate.</w:t>
      </w:r>
    </w:p>
    <w:p w14:paraId="4B6BD758" w14:textId="77777777" w:rsidR="00710869" w:rsidRDefault="00710869">
      <w:pPr>
        <w:pStyle w:val="Body"/>
      </w:pPr>
    </w:p>
    <w:p w14:paraId="03312C74" w14:textId="77777777" w:rsidR="00710869" w:rsidRDefault="00000000">
      <w:pPr>
        <w:pStyle w:val="Body"/>
      </w:pPr>
      <w:r>
        <w:t>M4 — On‑site PV (Phase 1). Roof‑mount PV sized to daytime base load; integrate inverter telemetry into the monthly dashboard; target high self‑consumption and minimal export. Owner: Facilities with Sustainability. Evidence: inverter logs; commissioning certificates. KPI: PV self‑consumption ratio; Scope 2 kgCO₂e/month.</w:t>
      </w:r>
    </w:p>
    <w:p w14:paraId="10831DAF" w14:textId="77777777" w:rsidR="00710869" w:rsidRDefault="00710869">
      <w:pPr>
        <w:pStyle w:val="Body"/>
      </w:pPr>
    </w:p>
    <w:p w14:paraId="11167741" w14:textId="77777777" w:rsidR="00710869" w:rsidRDefault="00000000">
      <w:pPr>
        <w:pStyle w:val="Body"/>
      </w:pPr>
      <w:r>
        <w:t>M5 — PV scale‑up / storage. When Phase‑1 performance is proven and structural/connection constraints are verified, scale capacity or add storage for peak‑shaving and resilience. Owner: CSG (gate approval), Facilities (delivery). KPI: % loads metered; kWh per module; Scope 2 reduction vs baseline.</w:t>
      </w:r>
    </w:p>
    <w:p w14:paraId="25E9B755" w14:textId="77777777" w:rsidR="00710869" w:rsidRDefault="00710869">
      <w:pPr>
        <w:pStyle w:val="Body"/>
      </w:pPr>
    </w:p>
    <w:p w14:paraId="122AECA2" w14:textId="77777777" w:rsidR="00710869" w:rsidRDefault="00000000">
      <w:pPr>
        <w:pStyle w:val="Body"/>
      </w:pPr>
      <w:r>
        <w:t>Primary KPIs (Scope 2): total kWh/month (factory, office, PV), Scope 2 kgCO₂e/month (location‑based 0.233 kg/kWh), % loads metered, PV self‑consumption %, non‑process kWh share, variance vs bills. Assurance: quarterly sampling—bills vs meters/PV logs; method and factor provenance in EF_Sources.</w:t>
      </w:r>
    </w:p>
    <w:p w14:paraId="13C4B189" w14:textId="77777777" w:rsidR="00710869" w:rsidRDefault="00710869">
      <w:pPr>
        <w:pStyle w:val="Body"/>
      </w:pPr>
    </w:p>
    <w:p w14:paraId="7BDB8E76" w14:textId="77777777" w:rsidR="00710869" w:rsidRDefault="00000000">
      <w:pPr>
        <w:pStyle w:val="Body"/>
      </w:pPr>
      <w:r>
        <w:t>6.2 Employee Commuting (selected Scope 3)</w:t>
      </w:r>
    </w:p>
    <w:p w14:paraId="30F53FD3" w14:textId="77777777" w:rsidR="00710869" w:rsidRDefault="00000000">
      <w:pPr>
        <w:pStyle w:val="Body"/>
      </w:pPr>
      <w:r>
        <w:t>Objective: Lower commuting emissions via verified mode‑shift, EV uptake, and schedule optimisation while maintaining data quality. Targets: 10% by 2028; ≥30% by 2030; ≥70% by 2040; ≥85% by 2050.</w:t>
      </w:r>
    </w:p>
    <w:p w14:paraId="4B9E5E57" w14:textId="77777777" w:rsidR="00710869" w:rsidRDefault="00710869">
      <w:pPr>
        <w:pStyle w:val="Body"/>
      </w:pPr>
    </w:p>
    <w:p w14:paraId="1595FD89" w14:textId="77777777" w:rsidR="00710869" w:rsidRDefault="00000000">
      <w:pPr>
        <w:pStyle w:val="Body"/>
      </w:pPr>
      <w:r>
        <w:t>Measures:</w:t>
      </w:r>
    </w:p>
    <w:p w14:paraId="362C20A6" w14:textId="77777777" w:rsidR="00710869" w:rsidRDefault="00000000">
      <w:pPr>
        <w:pStyle w:val="Body"/>
      </w:pPr>
      <w:r>
        <w:t>C1 — Verified car‑share pods. Create postcode‑cluster pods with preferred parking; collect monthly declarations that capture share status without personal data. Owners: HR (programme), Sustainability (calculation &amp; assurance). Evidence: anonymised forms; parking logs.</w:t>
      </w:r>
    </w:p>
    <w:p w14:paraId="55ED5CC4" w14:textId="77777777" w:rsidR="00710869" w:rsidRDefault="00710869">
      <w:pPr>
        <w:pStyle w:val="Body"/>
      </w:pPr>
    </w:p>
    <w:p w14:paraId="0E0CAA97" w14:textId="77777777" w:rsidR="00710869" w:rsidRDefault="00000000">
      <w:pPr>
        <w:pStyle w:val="Body"/>
      </w:pPr>
      <w:r>
        <w:t>C2 — Workplace EV charging (PV‑linked). Commission a small bank of smart chargers; log sessions, kWh dispensed, and user IDs (GDPR‑compliant); communicate fair‑use rules. Owners: Facilities (hardware), HR (policy).</w:t>
      </w:r>
    </w:p>
    <w:p w14:paraId="16F91F1A" w14:textId="77777777" w:rsidR="00710869" w:rsidRDefault="00710869">
      <w:pPr>
        <w:pStyle w:val="Body"/>
      </w:pPr>
    </w:p>
    <w:p w14:paraId="6E2ADD6B" w14:textId="77777777" w:rsidR="00710869" w:rsidRDefault="00000000">
      <w:pPr>
        <w:pStyle w:val="Body"/>
      </w:pPr>
      <w:r>
        <w:t>C3 — Shift optimisation. Where operations permit, stagger start/finish times to enable overlapping routes and reduce congestion; pilot two shifts and measure single‑occupancy reduction. Owners: Production + HR.</w:t>
      </w:r>
    </w:p>
    <w:p w14:paraId="7D7D3BD1" w14:textId="77777777" w:rsidR="00710869" w:rsidRDefault="00710869">
      <w:pPr>
        <w:pStyle w:val="Body"/>
      </w:pPr>
    </w:p>
    <w:p w14:paraId="486CBB22" w14:textId="77777777" w:rsidR="00710869" w:rsidRDefault="00000000">
      <w:pPr>
        <w:pStyle w:val="Body"/>
      </w:pPr>
      <w:r>
        <w:lastRenderedPageBreak/>
        <w:t>C4 — Survey cadence &amp; reconciliation. Run a quarterly mode‑share survey (EV, ICE, car‑share, walk/cycle, public transport); reconcile to parking/charging logs; store confidence tags and variances in Data_Register. Owner: Sustainability.</w:t>
      </w:r>
    </w:p>
    <w:p w14:paraId="0E53EB16" w14:textId="77777777" w:rsidR="00710869" w:rsidRDefault="00710869">
      <w:pPr>
        <w:pStyle w:val="Body"/>
      </w:pPr>
    </w:p>
    <w:p w14:paraId="446E5567" w14:textId="77777777" w:rsidR="00710869" w:rsidRDefault="00000000">
      <w:pPr>
        <w:pStyle w:val="Body"/>
      </w:pPr>
      <w:r>
        <w:t>KPIs: % commutes by EV; % staff in verified car‑share; total km/quarter; commuting kgCO₂e/quarter; survey completion ≥80%; charger utilisation %hours. Assurance: sample parking/charging logs vs survey; record exceptions and corrective actions.</w:t>
      </w:r>
    </w:p>
    <w:p w14:paraId="57CF22EA" w14:textId="77777777" w:rsidR="00710869" w:rsidRDefault="00710869">
      <w:pPr>
        <w:pStyle w:val="Body"/>
      </w:pPr>
    </w:p>
    <w:p w14:paraId="407B4453" w14:textId="77777777" w:rsidR="00710869" w:rsidRDefault="00000000">
      <w:pPr>
        <w:pStyle w:val="Body"/>
      </w:pPr>
      <w:r>
        <w:t>6.3 Cranage &amp; Install Fuels (selected Scope 3)</w:t>
      </w:r>
    </w:p>
    <w:p w14:paraId="53F8EB69" w14:textId="77777777" w:rsidR="00710869" w:rsidRDefault="00000000">
      <w:pPr>
        <w:pStyle w:val="Body"/>
      </w:pPr>
      <w:r>
        <w:t>Objective: Cut diesel used in mobile cranage during install through clean fuel switching, electrification where feasible, and idle‑time reduction. Targets: 30% by 2028; ≥80% by 2030; ≥95% by 2040.</w:t>
      </w:r>
    </w:p>
    <w:p w14:paraId="0F6BEB05" w14:textId="77777777" w:rsidR="00710869" w:rsidRDefault="00710869">
      <w:pPr>
        <w:pStyle w:val="Body"/>
      </w:pPr>
    </w:p>
    <w:p w14:paraId="3A23EA6B" w14:textId="77777777" w:rsidR="00710869" w:rsidRDefault="00000000">
      <w:pPr>
        <w:pStyle w:val="Body"/>
      </w:pPr>
      <w:r>
        <w:t>Measures:</w:t>
      </w:r>
    </w:p>
    <w:p w14:paraId="0EE4EF47" w14:textId="77777777" w:rsidR="00710869" w:rsidRDefault="00000000">
      <w:pPr>
        <w:pStyle w:val="Body"/>
      </w:pPr>
      <w:r>
        <w:t>A5‑1 — Contract data clauses. Update crane‑hire orders to require litres, fuel type, engine standard, and (if renewable diesel/HVO) chain‑of‑custody certificates with batch IDs. Owners: Procurement (contract), Logistics (supplier onboarding). Evidence: hire sheets; certificates.</w:t>
      </w:r>
    </w:p>
    <w:p w14:paraId="7FBC398D" w14:textId="77777777" w:rsidR="00710869" w:rsidRDefault="00710869">
      <w:pPr>
        <w:pStyle w:val="Body"/>
      </w:pPr>
    </w:p>
    <w:p w14:paraId="72F8D05A" w14:textId="77777777" w:rsidR="00710869" w:rsidRDefault="00000000">
      <w:pPr>
        <w:pStyle w:val="Body"/>
      </w:pPr>
      <w:r>
        <w:t>A5‑2 — HVO pilot and scale. Run OEM‑advised trials on compatible plant; verify supplier sustainability and chain‑of‑custody; scale to business‑as‑usual where credible. Owners: Logistics + Site Manager.</w:t>
      </w:r>
    </w:p>
    <w:p w14:paraId="4E5E0FE5" w14:textId="77777777" w:rsidR="00710869" w:rsidRDefault="00710869">
      <w:pPr>
        <w:pStyle w:val="Body"/>
      </w:pPr>
    </w:p>
    <w:p w14:paraId="0994A022" w14:textId="77777777" w:rsidR="00710869" w:rsidRDefault="00000000">
      <w:pPr>
        <w:pStyle w:val="Body"/>
      </w:pPr>
      <w:r>
        <w:t>A5‑3 — Electrified/hybrid lifts. Assess availability and site‑power (or temporary supply); where suitable, specify electric/hybrid cranage; capture kWh vs litres and runtime. Owners: Logistics + Project Carbon Lead.</w:t>
      </w:r>
    </w:p>
    <w:p w14:paraId="25CFE6F5" w14:textId="77777777" w:rsidR="00710869" w:rsidRDefault="00710869">
      <w:pPr>
        <w:pStyle w:val="Body"/>
      </w:pPr>
    </w:p>
    <w:p w14:paraId="33DC1E18" w14:textId="77777777" w:rsidR="00710869" w:rsidRDefault="00000000">
      <w:pPr>
        <w:pStyle w:val="Body"/>
      </w:pPr>
      <w:r>
        <w:t>A5‑4 — Install sequencing. Tighten lift plans to minimise idle time; stage modules, fixings, access, and sign‑offs; record start/stop and litres per lift/day. Owner: Site Manager.</w:t>
      </w:r>
    </w:p>
    <w:p w14:paraId="1E7B5770" w14:textId="77777777" w:rsidR="00710869" w:rsidRDefault="00710869">
      <w:pPr>
        <w:pStyle w:val="Body"/>
      </w:pPr>
    </w:p>
    <w:p w14:paraId="7CD6198F" w14:textId="77777777" w:rsidR="00710869" w:rsidRDefault="00000000">
      <w:pPr>
        <w:pStyle w:val="Body"/>
      </w:pPr>
      <w:r>
        <w:t>KPIs: litres by fuel type per module; % lifts on HVO/electric; cranage kgCO₂e per module; average lift duration; % orders with verified fuel certificates. Assurance: sample litres vs hours/hire sheets; check certificate IDs; log exceptions and close‑out.</w:t>
      </w:r>
    </w:p>
    <w:p w14:paraId="3C9F73CB" w14:textId="77777777" w:rsidR="00710869" w:rsidRDefault="00710869">
      <w:pPr>
        <w:pStyle w:val="Body"/>
      </w:pPr>
    </w:p>
    <w:p w14:paraId="4C29FB80" w14:textId="77777777" w:rsidR="00710869" w:rsidRDefault="00000000">
      <w:pPr>
        <w:pStyle w:val="Body"/>
      </w:pPr>
      <w:r>
        <w:t>6.4 Project Delivery Interface (WLC; informative only)</w:t>
      </w:r>
    </w:p>
    <w:p w14:paraId="01A245A8" w14:textId="77777777" w:rsidR="00710869" w:rsidRDefault="00000000">
      <w:pPr>
        <w:pStyle w:val="Body"/>
      </w:pPr>
      <w:r>
        <w:lastRenderedPageBreak/>
        <w:t>Outbound transport (A4), use‑phase (B‑stages), end‑of‑life (C‑stages) and Module D benefits are held at project level and summarised in the Emodula WLC report. Project Carbon Leads capture distance, payload, vehicle class and Euro standard, load factor and backhaul, plus B‑stage energy/water modelling (SAP/TM54) and end‑of‑life plans (deconstruction fuel, distances, processing energy, disposal splits, recovery routes). These data do not enter corporate totals; they guide product decisions and client reporting (A–C, Module D separate).</w:t>
      </w:r>
    </w:p>
    <w:p w14:paraId="4956DD93" w14:textId="77777777" w:rsidR="00710869" w:rsidRDefault="00710869">
      <w:pPr>
        <w:pStyle w:val="Body"/>
      </w:pPr>
    </w:p>
    <w:p w14:paraId="247F3C4D" w14:textId="77777777" w:rsidR="00710869" w:rsidRDefault="00000000">
      <w:pPr>
        <w:pStyle w:val="Body"/>
      </w:pPr>
      <w:r>
        <w:t>6.5 Data, systems, and evidence</w:t>
      </w:r>
    </w:p>
    <w:p w14:paraId="40392A7E" w14:textId="77777777" w:rsidR="00710869" w:rsidRDefault="00000000">
      <w:pPr>
        <w:pStyle w:val="Body"/>
      </w:pPr>
      <w:r>
        <w:t>All activity data, factors, and assumptions are maintained in Data_Register and EF_Sources with status/confidence tags and links to artefacts (bills, meter exports, inverter logs, HR surveys, parking/charging logs, hire sheets, fuel certificates). Monthly dashboards present kWh (factory/office/PV), Scope 2 estimate, commuting snapshots, cranage litres/fuel; quarterly CSG reviews confirm progress vs milestones and trigger baseline recalculation if structural/boundary/method changes are material. Selected years/tenders may commission external assurance.</w:t>
      </w:r>
    </w:p>
    <w:p w14:paraId="6C1FF96A" w14:textId="77777777" w:rsidR="00710869" w:rsidRDefault="00710869">
      <w:pPr>
        <w:pStyle w:val="Body"/>
      </w:pPr>
    </w:p>
    <w:p w14:paraId="21B048F4" w14:textId="77777777" w:rsidR="00710869" w:rsidRDefault="00000000">
      <w:pPr>
        <w:pStyle w:val="Body"/>
      </w:pPr>
      <w:r>
        <w:t>6.6 12‑month delivery cadence (illustrative)</w:t>
      </w:r>
    </w:p>
    <w:p w14:paraId="02EB6C6C" w14:textId="77777777" w:rsidR="00710869" w:rsidRDefault="00000000">
      <w:pPr>
        <w:pStyle w:val="Body"/>
      </w:pPr>
      <w:r>
        <w:t>- Q1: M1 metering live; plug‑load SOP launched; car‑share pods open; crane‑hire clauses updated; first survey run.</w:t>
      </w:r>
    </w:p>
    <w:p w14:paraId="1CAB0C0E" w14:textId="77777777" w:rsidR="00710869" w:rsidRDefault="00000000">
      <w:pPr>
        <w:pStyle w:val="Body"/>
      </w:pPr>
      <w:r>
        <w:t>- Q2: LED/controls installed; EV chargers live; first HVO pilot; dashboard baselined.</w:t>
      </w:r>
    </w:p>
    <w:p w14:paraId="68FA3DFE" w14:textId="77777777" w:rsidR="00710869" w:rsidRDefault="00000000">
      <w:pPr>
        <w:pStyle w:val="Body"/>
      </w:pPr>
      <w:r>
        <w:t>- Q3: PV Phase‑1 commissioned; electrified/hybrid cranage feasibility tested on at least one site; second survey + reconciliation.</w:t>
      </w:r>
    </w:p>
    <w:p w14:paraId="63292000" w14:textId="77777777" w:rsidR="00710869" w:rsidRDefault="00000000">
      <w:pPr>
        <w:pStyle w:val="Body"/>
      </w:pPr>
      <w:r>
        <w:t>- Q4: PV performance review and scale‑up decision; pathway re‑forecast; assurance scoping for next public CRP.</w:t>
      </w:r>
    </w:p>
    <w:p w14:paraId="3BBD7AF7" w14:textId="77777777" w:rsidR="00710869" w:rsidRDefault="00710869">
      <w:pPr>
        <w:pStyle w:val="Body"/>
      </w:pPr>
    </w:p>
    <w:p w14:paraId="6F231CD6" w14:textId="77777777" w:rsidR="00710869" w:rsidRDefault="00000000">
      <w:pPr>
        <w:pStyle w:val="Body"/>
      </w:pPr>
      <w:r>
        <w:t>Owners: Facilities (metering, lighting, PV, chargers); HR (car‑share, surveys); Logistics (cranage planning, feasibility); Procurement (contracts, certificates); Site Manager (lift logs); Sustainability Lead (methods, registers, dashboards); CSG/Board (gates &amp; approvals).</w:t>
      </w:r>
    </w:p>
    <w:p w14:paraId="3116260B" w14:textId="77777777" w:rsidR="00710869" w:rsidRDefault="00710869">
      <w:pPr>
        <w:pStyle w:val="Body"/>
      </w:pPr>
    </w:p>
    <w:p w14:paraId="39BE47D7" w14:textId="77777777" w:rsidR="00710869" w:rsidRDefault="00000000">
      <w:pPr>
        <w:pStyle w:val="Body"/>
      </w:pPr>
      <w:r>
        <w:t>6.7 Risks and dependencies (pathway‑specific)</w:t>
      </w:r>
    </w:p>
    <w:p w14:paraId="53D6E6C2" w14:textId="77777777" w:rsidR="00710869" w:rsidRDefault="00000000">
      <w:pPr>
        <w:pStyle w:val="Body"/>
      </w:pPr>
      <w:r>
        <w:t>- Metering/PV lead‑times and roof/connection constraints: mitigate with early surveys and phased deployment.</w:t>
      </w:r>
    </w:p>
    <w:p w14:paraId="765F90A4" w14:textId="77777777" w:rsidR="00710869" w:rsidRDefault="00000000">
      <w:pPr>
        <w:pStyle w:val="Body"/>
      </w:pPr>
      <w:r>
        <w:t>- HVO supply credibility and plant compatibility: mitigate with OEM letters and verified chain‑of‑custody.</w:t>
      </w:r>
    </w:p>
    <w:p w14:paraId="4B3CE08F" w14:textId="77777777" w:rsidR="00710869" w:rsidRDefault="00000000">
      <w:pPr>
        <w:pStyle w:val="Body"/>
      </w:pPr>
      <w:r>
        <w:t>- Survey fatigue / low response: shorten forms; provide feedback loops; integrate with parking/charging logs.</w:t>
      </w:r>
    </w:p>
    <w:p w14:paraId="797FA6E3" w14:textId="77777777" w:rsidR="00710869" w:rsidRDefault="00000000">
      <w:pPr>
        <w:pStyle w:val="Body"/>
      </w:pPr>
      <w:r>
        <w:lastRenderedPageBreak/>
        <w:t>- Behavioural drift (idle loads, sequencing): visual controls, short toolbox talks, exception tracking. All risks and mitigations are logged with owners and due‑by dates in the CSG pack.</w:t>
      </w:r>
    </w:p>
    <w:p w14:paraId="3132439C" w14:textId="77777777" w:rsidR="00710869" w:rsidRDefault="00710869">
      <w:pPr>
        <w:pStyle w:val="Body"/>
      </w:pPr>
    </w:p>
    <w:p w14:paraId="705875EF" w14:textId="77777777" w:rsidR="00710869" w:rsidRDefault="00000000">
      <w:pPr>
        <w:pStyle w:val="Body"/>
      </w:pPr>
      <w:r>
        <w:t>6.8 Expected impact vs milestones</w:t>
      </w:r>
    </w:p>
    <w:p w14:paraId="0CB14FDB" w14:textId="77777777" w:rsidR="00710869" w:rsidRDefault="00000000">
      <w:pPr>
        <w:pStyle w:val="Body"/>
      </w:pPr>
      <w:r>
        <w:t>On current measures and governance cadence, Emodula’s pathways support ~15% total reduction by 2028, 40% by 2030, 59% by 2035, 76% by 2040, and 88% by 2050 before residual neutrality—consistent with the trajectory in Section 4. Intensity KPIs (kgCO₂e/module; kgCO₂e/m²) are tracked alongside absolutes to normalise production changes and to evidence genuine efficiency gains.</w:t>
      </w:r>
    </w:p>
    <w:p w14:paraId="0EE1E049" w14:textId="77777777" w:rsidR="00710869" w:rsidRDefault="00710869"/>
    <w:p w14:paraId="0A660BA4" w14:textId="77777777" w:rsidR="00710869" w:rsidRDefault="00000000">
      <w:pPr>
        <w:pStyle w:val="Heading1"/>
      </w:pPr>
      <w:r>
        <w:t>7) Whole‑Life Carbon (WLC) &amp; Module D (Informative)</w:t>
      </w:r>
    </w:p>
    <w:p w14:paraId="373023F0" w14:textId="77777777" w:rsidR="00710869" w:rsidRDefault="00000000">
      <w:pPr>
        <w:pStyle w:val="Body"/>
      </w:pPr>
      <w:r>
        <w:t>Emodula assesses Whole‑Life Carbon (WLC) at module level in line with EN 15978, using a 100‑year reference study period for use‑phase impacts. WLC is reported separately from the corporate GHG inventory to prevent double counting: corporate totals cover Scope 2 electricity and selected Scope 3 categories (employee commuting and cranage/install), while project‑level WLC captures A‑to‑C stages and discloses Module D benefits beyond the system boundary. This separation ensures client‑facing design and delivery decisions are informed by complete lifecycle views, without distorting corporate progress reporting.</w:t>
      </w:r>
    </w:p>
    <w:p w14:paraId="4CDF7C43" w14:textId="77777777" w:rsidR="00710869" w:rsidRDefault="00710869">
      <w:pPr>
        <w:pStyle w:val="Body"/>
      </w:pPr>
    </w:p>
    <w:p w14:paraId="34AEFA85" w14:textId="77777777" w:rsidR="00710869" w:rsidRDefault="00000000">
      <w:pPr>
        <w:pStyle w:val="Body"/>
      </w:pPr>
      <w:r>
        <w:t>Current per‑module WLC baseline (example).</w:t>
      </w:r>
    </w:p>
    <w:p w14:paraId="37CD9489" w14:textId="77777777" w:rsidR="00710869" w:rsidRDefault="00000000">
      <w:pPr>
        <w:pStyle w:val="Body"/>
      </w:pPr>
      <w:r>
        <w:t>- A4 transport to site: 2,976 kgCO₂e (distance × payload × road‑freight factor).</w:t>
      </w:r>
    </w:p>
    <w:p w14:paraId="64C82BE7" w14:textId="77777777" w:rsidR="00710869" w:rsidRDefault="00000000">
      <w:pPr>
        <w:pStyle w:val="Body"/>
      </w:pPr>
      <w:r>
        <w:t>- A5 cranage/site diesel: 5,146 kgCO₂e (litres × diesel factor).</w:t>
      </w:r>
    </w:p>
    <w:p w14:paraId="6E49187A" w14:textId="77777777" w:rsidR="00710869" w:rsidRDefault="00000000">
      <w:pPr>
        <w:pStyle w:val="Body"/>
      </w:pPr>
      <w:r>
        <w:t>- B1–B5 maintenance: 16,000 kgCO₂e (long‑term replacement cycles).</w:t>
      </w:r>
    </w:p>
    <w:p w14:paraId="053CFF2E" w14:textId="77777777" w:rsidR="00710869" w:rsidRDefault="00000000">
      <w:pPr>
        <w:pStyle w:val="Body"/>
      </w:pPr>
      <w:r>
        <w:t>- B6 operational energy: 169,800 kgCO₂e (12,000 kWh/year over 100 years, average factor 0.1415 kgCO₂e/kWh under a linear grid‑decarbonisation scenario from 0.233 → 0.05).</w:t>
      </w:r>
    </w:p>
    <w:p w14:paraId="101628C2" w14:textId="77777777" w:rsidR="00710869" w:rsidRDefault="00000000">
      <w:pPr>
        <w:pStyle w:val="Body"/>
      </w:pPr>
      <w:r>
        <w:t>- B7 operational water: 1,700 kgCO₂e.</w:t>
      </w:r>
    </w:p>
    <w:p w14:paraId="3D2651ED" w14:textId="77777777" w:rsidR="00710869" w:rsidRDefault="00000000">
      <w:pPr>
        <w:pStyle w:val="Body"/>
      </w:pPr>
      <w:r>
        <w:t>- C‑stages (C1–C4): 1,289 kgCO₂e total across deconstruction fuel, transport to waste, processing electricity, and disposal splits.</w:t>
      </w:r>
    </w:p>
    <w:p w14:paraId="0221B476" w14:textId="77777777" w:rsidR="00710869" w:rsidRDefault="00000000">
      <w:pPr>
        <w:pStyle w:val="Body"/>
      </w:pPr>
      <w:r>
        <w:t>Subtotal A4–C: 196,911 kgCO₂e.</w:t>
      </w:r>
    </w:p>
    <w:p w14:paraId="6214D1A8" w14:textId="77777777" w:rsidR="00710869" w:rsidRDefault="00000000">
      <w:pPr>
        <w:pStyle w:val="Body"/>
      </w:pPr>
      <w:r>
        <w:t>Module D (material recovery credit, disclosed separately): −30,190 kgCO₂e (steel, aluminium, timber recovery).</w:t>
      </w:r>
    </w:p>
    <w:p w14:paraId="53BBFC1D" w14:textId="77777777" w:rsidR="00710869" w:rsidRDefault="00000000">
      <w:pPr>
        <w:pStyle w:val="Body"/>
      </w:pPr>
      <w:r>
        <w:t>Total including D (not mixed with corporate totals): 166,721 kgCO₂e.</w:t>
      </w:r>
    </w:p>
    <w:p w14:paraId="6DC3CC75" w14:textId="77777777" w:rsidR="00710869" w:rsidRDefault="00710869">
      <w:pPr>
        <w:pStyle w:val="Body"/>
      </w:pPr>
    </w:p>
    <w:p w14:paraId="0B87A23D" w14:textId="77777777" w:rsidR="00710869" w:rsidRDefault="00000000">
      <w:pPr>
        <w:pStyle w:val="Body"/>
      </w:pPr>
      <w:r>
        <w:lastRenderedPageBreak/>
        <w:t>Design levers and specification. The dominant driver is B6 operational energy; therefore Emodula’s design intent is fabric‑first performance (airtightness, thermal efficiency, efficient systems) paired with credible on‑site renewables and metering to materially lower lifetime energy demand. For embodied impacts and end‑of‑life performance, modules adopt Design for Disassembly (DfD): standardised reversible fixings, documented material tagging, supplier take‑back schemes, and access routes that enable higher recovery yields. These practices strengthen Module D evidence without inflating corporate totals.</w:t>
      </w:r>
    </w:p>
    <w:p w14:paraId="6D67A9D7" w14:textId="77777777" w:rsidR="00710869" w:rsidRDefault="00710869">
      <w:pPr>
        <w:pStyle w:val="Body"/>
      </w:pPr>
    </w:p>
    <w:p w14:paraId="3CEB9956" w14:textId="77777777" w:rsidR="00710869" w:rsidRDefault="00000000">
      <w:pPr>
        <w:pStyle w:val="Body"/>
      </w:pPr>
      <w:r>
        <w:t>Data capture, assurance, and use. Project Carbon Leads record WLC inputs (A4 distance/payload/vehicle class; A5 litres and plant class; B‑stage energy/water modelling; C‑stage fuel, distances, processing energy, disposal splits; recovery routes) and compile results in the Emodula WLC report. Factor provenance is maintained in EF_Sources; assumptions and evidence are listed in the Data_Register with status and confidence tags. When published to clients, WLC summaries present A–C totals with Module D disclosed separately, remain distinct from corporate CRP figures, and are supported by auditable evidence (bills, logs, certificates, models).</w:t>
      </w:r>
    </w:p>
    <w:p w14:paraId="32593670" w14:textId="77777777" w:rsidR="00710869" w:rsidRDefault="00710869"/>
    <w:p w14:paraId="238A3F2E" w14:textId="77777777" w:rsidR="00710869" w:rsidRDefault="00000000">
      <w:pPr>
        <w:pStyle w:val="Heading1"/>
      </w:pPr>
      <w:r>
        <w:t>8) Governance &amp; Roles (with RACI)</w:t>
      </w:r>
    </w:p>
    <w:p w14:paraId="55CA6FD6" w14:textId="77777777" w:rsidR="00710869" w:rsidRDefault="00000000">
      <w:pPr>
        <w:pStyle w:val="Body"/>
      </w:pPr>
      <w:r>
        <w:t>Governance model. Emodula’s governance for carbon management combines Board/Executive oversight, a cross‑functional Carbon Steering Group (CSG), and named operational owners. The Board sets policy, approves targets and public disclosures, and arbitrates resourcing. The CSG (Sustainability, Commercial/QS, Design, Production, Logistics, Procurement, HR, Compliance/Document Control Lead) meets quarterly to review KPIs, risks, exceptions, and baseline‑recalculation triggers; it recommends changes to the Board for approval. Compliance/Document Control applies controlled‑document rules (coding, approval, issue, supersession) per the governance procedure, ensuring auditable publication and retention.</w:t>
      </w:r>
    </w:p>
    <w:p w14:paraId="52315296" w14:textId="77777777" w:rsidR="00710869" w:rsidRDefault="00710869">
      <w:pPr>
        <w:pStyle w:val="Body"/>
      </w:pPr>
    </w:p>
    <w:p w14:paraId="493A2945" w14:textId="77777777" w:rsidR="00710869" w:rsidRDefault="00000000">
      <w:pPr>
        <w:pStyle w:val="Body"/>
      </w:pPr>
      <w:r>
        <w:t>Core roles.</w:t>
      </w:r>
    </w:p>
    <w:p w14:paraId="574E21AB" w14:textId="77777777" w:rsidR="00710869" w:rsidRDefault="00000000">
      <w:pPr>
        <w:pStyle w:val="Body"/>
      </w:pPr>
      <w:r>
        <w:t>- Sustainability Lead (Inventory Owner): Owns methods, Data_Register and EF_Sources, factor stewardship, monthly dashboards, and internal verification sampling; convenes data owners to close exceptions.</w:t>
      </w:r>
    </w:p>
    <w:p w14:paraId="6B6E82A6" w14:textId="77777777" w:rsidR="00710869" w:rsidRDefault="00000000">
      <w:pPr>
        <w:pStyle w:val="Body"/>
      </w:pPr>
      <w:r>
        <w:t>- Project Carbon Leads: Apply EN 15978 at project level (A–C; Module D separate), maintain clean separation from corporate totals, and compile client WLC summaries with evidence.</w:t>
      </w:r>
    </w:p>
    <w:p w14:paraId="0996F8DE" w14:textId="77777777" w:rsidR="00710869" w:rsidRDefault="00000000">
      <w:pPr>
        <w:pStyle w:val="Body"/>
      </w:pPr>
      <w:r>
        <w:t>- Facilities: Metering/sub‑metering, lighting/controls, PV deployment, charger infrastructure; provides bills, meter exports, and inverter logs.</w:t>
      </w:r>
    </w:p>
    <w:p w14:paraId="7FD6191D" w14:textId="77777777" w:rsidR="00710869" w:rsidRDefault="00000000">
      <w:pPr>
        <w:pStyle w:val="Body"/>
      </w:pPr>
      <w:r>
        <w:t>- Production/Site: Implements plug‑load and idle‑time SOPs; captures cranage logs (start/stop, litres), site evidence, and toolbox‑talk records.</w:t>
      </w:r>
    </w:p>
    <w:p w14:paraId="538E5DC7" w14:textId="77777777" w:rsidR="00710869" w:rsidRDefault="00000000">
      <w:pPr>
        <w:pStyle w:val="Body"/>
      </w:pPr>
      <w:r>
        <w:t>- Procurement &amp; Logistics: Contractual clauses for cranage fuel data and certificates; supplier engagement on renewable fuels/electrified lifts; A4/C2 logistics data quality (vehicle class, payload, backhaul).</w:t>
      </w:r>
    </w:p>
    <w:p w14:paraId="17B07908" w14:textId="77777777" w:rsidR="00710869" w:rsidRDefault="00000000">
      <w:pPr>
        <w:pStyle w:val="Body"/>
      </w:pPr>
      <w:r>
        <w:t>- HR: Mode‑share surveys, parking/charging logs, privacy‑by‑design controls.</w:t>
      </w:r>
    </w:p>
    <w:p w14:paraId="681FE44C" w14:textId="77777777" w:rsidR="00710869" w:rsidRDefault="00000000">
      <w:pPr>
        <w:pStyle w:val="Body"/>
      </w:pPr>
      <w:r>
        <w:lastRenderedPageBreak/>
        <w:t>- Compliance/Document Control Lead (DCL): Enforces document control lifecycle, maintains the controlled repository, manages public CRP issue/supersession.</w:t>
      </w:r>
    </w:p>
    <w:p w14:paraId="2A8620E3" w14:textId="77777777" w:rsidR="00710869" w:rsidRDefault="00710869">
      <w:pPr>
        <w:pStyle w:val="Body"/>
      </w:pPr>
    </w:p>
    <w:p w14:paraId="76A85FCE" w14:textId="77777777" w:rsidR="00710869" w:rsidRDefault="00000000">
      <w:pPr>
        <w:pStyle w:val="Body"/>
      </w:pPr>
      <w:r>
        <w:t>RACI (key activities).</w:t>
      </w:r>
    </w:p>
    <w:p w14:paraId="34705CA5" w14:textId="77777777" w:rsidR="00710869" w:rsidRDefault="00000000">
      <w:pPr>
        <w:pStyle w:val="Body"/>
      </w:pPr>
      <w:r>
        <w:t>- Inventory integrity (methods, factors, registers): R Sustainability; A Board; C Facilities/HR/Site; I CSG.</w:t>
      </w:r>
    </w:p>
    <w:p w14:paraId="559EF4B1" w14:textId="77777777" w:rsidR="00710869" w:rsidRDefault="00000000">
      <w:pPr>
        <w:pStyle w:val="Body"/>
      </w:pPr>
      <w:r>
        <w:t>- Targets &amp; trajectory resets: R CSG; A Board; C Sustainability/Commercial/Logistics; I Functions.</w:t>
      </w:r>
    </w:p>
    <w:p w14:paraId="4E1E0078" w14:textId="77777777" w:rsidR="00710869" w:rsidRDefault="00000000">
      <w:pPr>
        <w:pStyle w:val="Body"/>
      </w:pPr>
      <w:r>
        <w:t>- Metering, lighting/controls, PV: R Facilities; A CSG/Board (gates); C Sustainability/Production; I Site.</w:t>
      </w:r>
    </w:p>
    <w:p w14:paraId="7004D116" w14:textId="77777777" w:rsidR="00710869" w:rsidRDefault="00000000">
      <w:pPr>
        <w:pStyle w:val="Body"/>
      </w:pPr>
      <w:r>
        <w:t>- Commuting programme (car‑share, EV charging, surveys): R HR; A CSG; C Facilities/Sustainability; I Staff.</w:t>
      </w:r>
    </w:p>
    <w:p w14:paraId="03D61C80" w14:textId="77777777" w:rsidR="00710869" w:rsidRDefault="00000000">
      <w:pPr>
        <w:pStyle w:val="Body"/>
      </w:pPr>
      <w:r>
        <w:t>- Cranage fuel data &amp; certification (HVO/electric): R Procurement; A CSG; C Logistics/Site/Sustainability; I Suppliers.</w:t>
      </w:r>
    </w:p>
    <w:p w14:paraId="4810165E" w14:textId="77777777" w:rsidR="00710869" w:rsidRDefault="00000000">
      <w:pPr>
        <w:pStyle w:val="Body"/>
      </w:pPr>
      <w:r>
        <w:t>- WLC reporting (A–C, Module D separate): R Project Carbon Leads; A CSG; C Design/Procurement/Logistics; I Clients.</w:t>
      </w:r>
    </w:p>
    <w:p w14:paraId="2C36F302" w14:textId="77777777" w:rsidR="00710869" w:rsidRDefault="00000000">
      <w:pPr>
        <w:pStyle w:val="Body"/>
      </w:pPr>
      <w:r>
        <w:t>- Public CRP publication (annual) &amp; website posting: R Compliance/DCL; A Board; C Sustainability; I Functions.</w:t>
      </w:r>
    </w:p>
    <w:p w14:paraId="53156BEB" w14:textId="77777777" w:rsidR="00710869" w:rsidRDefault="00000000">
      <w:pPr>
        <w:pStyle w:val="Body"/>
      </w:pPr>
      <w:r>
        <w:t>- Baseline recalculation &amp; corrections protocol: R Sustainability; A CSG/Board; C Compliance; I Functions.</w:t>
      </w:r>
    </w:p>
    <w:p w14:paraId="77D9E831" w14:textId="77777777" w:rsidR="00710869" w:rsidRDefault="00710869">
      <w:pPr>
        <w:pStyle w:val="Body"/>
      </w:pPr>
    </w:p>
    <w:p w14:paraId="7DAD8720" w14:textId="77777777" w:rsidR="00710869" w:rsidRDefault="00000000">
      <w:pPr>
        <w:pStyle w:val="Body"/>
      </w:pPr>
      <w:r>
        <w:t>Decision gates (DG0–DG5). Carbon checkpoints are embedded from Concept/Brief (DG0) through Design Freeze, Procurement, Logistics &amp; Install, Handover/O&amp;M, and Close‑Out (DG5). At each gate, the CSG confirms scope, data‑capture readiness, supply‑chain evidence (EPDs, fuel certificates), separation of WLC vs corporate totals, and document‑control status prior to release.</w:t>
      </w:r>
    </w:p>
    <w:p w14:paraId="0525C30D" w14:textId="77777777" w:rsidR="00710869" w:rsidRDefault="00710869">
      <w:pPr>
        <w:pStyle w:val="Body"/>
      </w:pPr>
    </w:p>
    <w:p w14:paraId="14B876E8" w14:textId="77777777" w:rsidR="00710869" w:rsidRDefault="00000000">
      <w:pPr>
        <w:pStyle w:val="Body"/>
      </w:pPr>
      <w:r>
        <w:t>Cadence &amp; evidence. Monthly dashboards (kWh, Scope‑2 estimate, commuting snapshots, cranage litres/fuel) feed the quarterly CSG review pack; all evidence (bills, meter exports, surveys, hire sheets, certificates) is filed under controlled naming/retention rules, with supersession and approvals logged in the document register.</w:t>
      </w:r>
    </w:p>
    <w:p w14:paraId="080FC21B" w14:textId="77777777" w:rsidR="00710869" w:rsidRDefault="00710869"/>
    <w:p w14:paraId="5F963490" w14:textId="77777777" w:rsidR="00710869" w:rsidRDefault="00000000">
      <w:pPr>
        <w:pStyle w:val="Heading1"/>
      </w:pPr>
      <w:r>
        <w:t>9) Data Management, Methods &amp; Assurance</w:t>
      </w:r>
    </w:p>
    <w:p w14:paraId="52355D14" w14:textId="77777777" w:rsidR="00710869" w:rsidRDefault="00000000">
      <w:pPr>
        <w:pStyle w:val="Body"/>
      </w:pPr>
      <w:r>
        <w:t xml:space="preserve">Emodula manages carbon data through two controlled registers that serve as the single source of truth: the Data_Register and EF_Sources. The Data_Register holds every activity datum (question, unit, owner, status, confidence) with links to auditable evidence (supplier bills and meter reads for Scope 2; HR mode‑share surveys and parking/charging logs for commuting; site hire sheets, daily cranage logs and fuel declarations for install), ensuring traceability and consistent monthly/quarterly reporting. The EF_Sources register maintains emission‑factor provenance (publisher, vintage, region, notes), so any annual factor refresh can be executed </w:t>
      </w:r>
      <w:r>
        <w:lastRenderedPageBreak/>
        <w:t>transparently with pre/post snapshots. Both registers are referenced in, and consistent with, Emodula’s Carbon Reduction Plan draft and WLC reporting pack.</w:t>
      </w:r>
    </w:p>
    <w:p w14:paraId="6440A540" w14:textId="77777777" w:rsidR="00710869" w:rsidRDefault="00710869">
      <w:pPr>
        <w:pStyle w:val="Body"/>
      </w:pPr>
    </w:p>
    <w:p w14:paraId="1F10720D" w14:textId="77777777" w:rsidR="00710869" w:rsidRDefault="00000000">
      <w:pPr>
        <w:pStyle w:val="Body"/>
      </w:pPr>
      <w:r>
        <w:t>Methods. Corporate accounting follows the GHG Protocol with DEFRA/BEIS factors (e.g., electricity 0.233 kgCO₂e/kWh location‑based; diesel 2.68 kgCO₂e/L; commuting km factors), while project‑level assessment follows EN 15978 with Module D benefits disclosed separately and not mixed into corporate totals. Where appropriate, Emodula may disclose market‑based electricity figures alongside location‑based reporting; both are clearly distinguished in external publications to avoid confusion and double counting.</w:t>
      </w:r>
    </w:p>
    <w:p w14:paraId="54F4227B" w14:textId="77777777" w:rsidR="00710869" w:rsidRDefault="00710869">
      <w:pPr>
        <w:pStyle w:val="Body"/>
      </w:pPr>
    </w:p>
    <w:p w14:paraId="34DBA6A5" w14:textId="77777777" w:rsidR="00710869" w:rsidRDefault="00000000">
      <w:pPr>
        <w:pStyle w:val="Body"/>
      </w:pPr>
      <w:r>
        <w:t>Assurance &amp; internal controls. Quarterly internal verification samples reconcile factory/office bills to meter and PV logs; cranage litres to hours and hire sheets; commuting surveys to parking/charging logs. Exceptions are raised to owners, tracked to close‑out in the CSG review pack, and summarised in the CRP update. Selected years/tenders may commission external assurance (limited or reasonable) focused on data lineage, EF provenance and control walkthroughs. Evidence naming and retention follow controlled‑document rules (e.g., YYYY‑MM_Source_ProjectOrSite_Category_vX) under Emodula’s Document Control Procedure, with superseded versions archived and marked “SUPERSEDED – DO NOT USE.”</w:t>
      </w:r>
    </w:p>
    <w:p w14:paraId="6994D93D" w14:textId="77777777" w:rsidR="00710869" w:rsidRDefault="00710869">
      <w:pPr>
        <w:pStyle w:val="Body"/>
      </w:pPr>
    </w:p>
    <w:p w14:paraId="0E5ED613" w14:textId="77777777" w:rsidR="00710869" w:rsidRDefault="00000000">
      <w:pPr>
        <w:pStyle w:val="Body"/>
      </w:pPr>
      <w:r>
        <w:t>Cadence &amp; publication. A monthly operations dashboard reports electricity kWh (factory/office/PV), Scope‑2 estimates, commuting snapshots and cranage litres by fuel; the quarterly CSG review confirms progress vs milestones, supply‑chain status (PV/HVO/electrified cranage), risks and any baseline recalculation triggers. Annual CRP publication consolidates methods, totals, targets and measures; project WLC summaries (A–C, Module D separate) are provided in client packs and remain distinct from corporate totals.</w:t>
      </w:r>
    </w:p>
    <w:p w14:paraId="36562D64" w14:textId="77777777" w:rsidR="00710869" w:rsidRDefault="00710869"/>
    <w:p w14:paraId="231832EA" w14:textId="77777777" w:rsidR="00710869" w:rsidRDefault="00000000">
      <w:pPr>
        <w:pStyle w:val="Heading1"/>
      </w:pPr>
      <w:r>
        <w:t>10) Monitoring, Reporting &amp; External Disclosures</w:t>
      </w:r>
    </w:p>
    <w:p w14:paraId="507A032B" w14:textId="77777777" w:rsidR="00710869" w:rsidRDefault="00000000">
      <w:pPr>
        <w:pStyle w:val="Body"/>
      </w:pPr>
      <w:r>
        <w:t>Internal monitoring. A monthly operations dashboard tracks factory/office electricity (kWh), estimated Scope 2 (kgCO₂e), commuting snapshots (mode‑share, km), and cranage litres by fuel. Source data (bills, meter/PV exports, HR surveys, parking/charging logs, hire sheets, fuel certificates) are filed in the Data_Register with status/confidence tags and links to EF_Sources for factor provenance. Variances &gt;10% trigger exceptions with owners and due‑by dates, summarised in the CSG pack.</w:t>
      </w:r>
    </w:p>
    <w:p w14:paraId="73D869A7" w14:textId="77777777" w:rsidR="00710869" w:rsidRDefault="00710869">
      <w:pPr>
        <w:pStyle w:val="Body"/>
      </w:pPr>
    </w:p>
    <w:p w14:paraId="505A0E20" w14:textId="77777777" w:rsidR="00710869" w:rsidRDefault="00000000">
      <w:pPr>
        <w:pStyle w:val="Body"/>
      </w:pPr>
      <w:r>
        <w:t>Quarterly governance. The Carbon Steering Group reviews progress against Section‑4 milestones, supply‑chain status (PV deployment, HVO/electrified cranage feasibility), risks and corrective actions, and any baseline recalculation triggers (structural, boundary, or methodological changes). Approved changes are minuted and pre/post snapshots retained for audit.</w:t>
      </w:r>
    </w:p>
    <w:p w14:paraId="29DCAF2D" w14:textId="77777777" w:rsidR="00710869" w:rsidRDefault="00710869">
      <w:pPr>
        <w:pStyle w:val="Body"/>
      </w:pPr>
    </w:p>
    <w:p w14:paraId="12392B1D" w14:textId="77777777" w:rsidR="00710869" w:rsidRDefault="00000000">
      <w:pPr>
        <w:pStyle w:val="Body"/>
      </w:pPr>
      <w:r>
        <w:lastRenderedPageBreak/>
        <w:t>Public disclosures. Emodula issues an annual Carbon Reduction Plan (CRP) that concisely reports baseline, current‑year totals, targets, measures, and governance. The CRP is posted to the website’s ESG/Policies area and may be supplemented by a short quarterly progress note (e.g., Scope‑2 reductions, commuting improvements, verified cranage fuel switch). Project WLC summaries are provided in client packs as A–C totals with Module D disclosed separately, and are never mixed with corporate CRP figures.</w:t>
      </w:r>
    </w:p>
    <w:p w14:paraId="3637C23D" w14:textId="77777777" w:rsidR="00710869" w:rsidRDefault="00710869">
      <w:pPr>
        <w:pStyle w:val="Body"/>
      </w:pPr>
    </w:p>
    <w:p w14:paraId="14237BAC" w14:textId="77777777" w:rsidR="00710869" w:rsidRDefault="00000000">
      <w:pPr>
        <w:pStyle w:val="Body"/>
      </w:pPr>
      <w:r>
        <w:t>KPI dictionary and thresholds. A controlled annex defines each KPI (name, definition, unit, source, owner, cadence, alert threshold). Core KPIs include: kWh (factory/office/PV), Scope‑2 kgCO₂e/month, % loads metered, PV self‑consumption %, % commutes by EV, % verified car‑share, litres by fuel type per module, % lifts on HVO/electric, % data points “Verified,” exception close‑out rate. Alert thresholds (e.g., survey completion &lt;80%) trigger targeted actions and are documented in the register.</w:t>
      </w:r>
    </w:p>
    <w:p w14:paraId="304C4356" w14:textId="77777777" w:rsidR="00710869" w:rsidRDefault="00710869">
      <w:pPr>
        <w:pStyle w:val="Body"/>
      </w:pPr>
    </w:p>
    <w:p w14:paraId="78C00983" w14:textId="77777777" w:rsidR="00710869" w:rsidRDefault="00000000">
      <w:pPr>
        <w:pStyle w:val="Body"/>
      </w:pPr>
      <w:r>
        <w:t>Assurance and document control. Selected tenders/years commission external assurance (limited/reasonable) over corporate totals and selected Scope‑3 categories. All publications follow the Document Control Procedure (coding, approval, issue, supersession); superseded versions are archived and stamped “SUPERSEDED – DO NOT USE.”</w:t>
      </w:r>
    </w:p>
    <w:p w14:paraId="1B5A7FDB" w14:textId="77777777" w:rsidR="00710869" w:rsidRDefault="00710869"/>
    <w:p w14:paraId="79E7BB5D" w14:textId="77777777" w:rsidR="00710869" w:rsidRDefault="00000000">
      <w:pPr>
        <w:pStyle w:val="Heading1"/>
      </w:pPr>
      <w:r>
        <w:t>11) Baseline Recalculation &amp; Corrections Policy</w:t>
      </w:r>
    </w:p>
    <w:p w14:paraId="4273D8BB" w14:textId="77777777" w:rsidR="00710869" w:rsidRDefault="00000000">
      <w:pPr>
        <w:pStyle w:val="Body"/>
      </w:pPr>
      <w:r>
        <w:t>Emodula will recalculate its corporate GHG baseline when changes materially affect comparability, transparency or boundary integrity. Triggers include: (1) structural changes (e.g., facility acquisition or divestment, significant process shifts); (2) boundary changes (e.g., inclusion of additional Scope 3 categories such as Purchased Goods &amp; Services once data quality and coverage meet governance thresholds); and (3) methodological changes (e.g., DEFRA/BEIS factor revisions, adoption of market‑based electricity reporting alongside location‑based). To avoid double counting, project‑level WLC results (A–C, Module D separate) remain outside corporate totals throughout.</w:t>
      </w:r>
    </w:p>
    <w:p w14:paraId="714E6016" w14:textId="77777777" w:rsidR="00710869" w:rsidRDefault="00710869">
      <w:pPr>
        <w:pStyle w:val="Body"/>
      </w:pPr>
    </w:p>
    <w:p w14:paraId="66C92A3F" w14:textId="77777777" w:rsidR="00710869" w:rsidRDefault="00000000">
      <w:pPr>
        <w:pStyle w:val="Body"/>
      </w:pPr>
      <w:r>
        <w:t>Process: Identify trigger and owner; complete impact assessment; prepare pre/post calculations and a materiality statement; seek CSG endorsement and Board approval; implement in the Data_Register and EF_Sources with versioned snapshots; update dashboards, KPIs and narratives; reissue public CRP where relevant under EMO‑GOV‑PRO‑001 document control. All superseded baselines are archived and stamped “SUPERSEDED – DO NOT USE.”</w:t>
      </w:r>
    </w:p>
    <w:p w14:paraId="4E668F46" w14:textId="77777777" w:rsidR="00710869" w:rsidRDefault="00710869">
      <w:pPr>
        <w:pStyle w:val="Body"/>
      </w:pPr>
    </w:p>
    <w:p w14:paraId="4F9348D8" w14:textId="77777777" w:rsidR="00710869" w:rsidRDefault="00000000">
      <w:pPr>
        <w:pStyle w:val="Body"/>
      </w:pPr>
      <w:r>
        <w:t xml:space="preserve">Corrections protocol: If a material error or withdrawn supplier certificate compromises published totals or claims, Compliance will immediately remove/flag affected content, publish a correction note within five working days, and notify impacted clients where project‑specific. Root cause, corrective action, and any re‑runs are logged with links to evidence (bills, meter exports, hire sheets, certificates). Internal verification (quarterly </w:t>
      </w:r>
      <w:r>
        <w:lastRenderedPageBreak/>
        <w:t>sampling) tests the corrected figures; external assurance may be commissioned for major tenders or annual CRP updates.</w:t>
      </w:r>
    </w:p>
    <w:p w14:paraId="605E6D32" w14:textId="77777777" w:rsidR="00710869" w:rsidRDefault="00710869">
      <w:pPr>
        <w:pStyle w:val="Body"/>
      </w:pPr>
    </w:p>
    <w:p w14:paraId="218FF221" w14:textId="77777777" w:rsidR="00710869" w:rsidRDefault="00000000">
      <w:pPr>
        <w:pStyle w:val="Body"/>
      </w:pPr>
      <w:r>
        <w:t>Communication: Changes and corrections are minuted in the CSG pack; public CRP and website entries are updated with clear date stamps and a short “basis of recalculation” note, maintaining auditability and stakeholder trust.</w:t>
      </w:r>
    </w:p>
    <w:p w14:paraId="3FA5B805" w14:textId="77777777" w:rsidR="00710869" w:rsidRDefault="00710869"/>
    <w:p w14:paraId="53916BA9" w14:textId="77777777" w:rsidR="00710869" w:rsidRDefault="00000000">
      <w:pPr>
        <w:pStyle w:val="Heading1"/>
      </w:pPr>
      <w:r>
        <w:t>12) Risks, Opportunities &amp; Barriers</w:t>
      </w:r>
    </w:p>
    <w:p w14:paraId="7246BA86" w14:textId="77777777" w:rsidR="00710869" w:rsidRDefault="00000000">
      <w:pPr>
        <w:pStyle w:val="Body"/>
      </w:pPr>
      <w:r>
        <w:t>Emodula manages carbon‑related risk through governed planning, auditable data, and clear escalation, while exploiting opportunities that accelerate reductions and improve competitiveness. The Carbon Steering Group (CSG) reviews risks quarterly and records mitigations, owners, and due‑by dates under controlled document procedures.</w:t>
      </w:r>
    </w:p>
    <w:p w14:paraId="1E6EA3AA" w14:textId="77777777" w:rsidR="00710869" w:rsidRDefault="00710869">
      <w:pPr>
        <w:pStyle w:val="Body"/>
      </w:pPr>
    </w:p>
    <w:p w14:paraId="15896356" w14:textId="77777777" w:rsidR="00710869" w:rsidRDefault="00000000">
      <w:pPr>
        <w:pStyle w:val="Body"/>
      </w:pPr>
      <w:r>
        <w:t>Key risks and mitigations.</w:t>
      </w:r>
    </w:p>
    <w:p w14:paraId="52B4A505" w14:textId="77777777" w:rsidR="00710869" w:rsidRDefault="00000000">
      <w:pPr>
        <w:pStyle w:val="Body"/>
      </w:pPr>
      <w:r>
        <w:t>- Data quality &amp; completeness (meters, cranage logs, commuting surveys): deploy automated reads, templated site logs, quarterly mode‑share surveys with reconciliation to parking/charging data; raise exceptions and close them in the CSG pack. Owners: Sustainability, Facilities, HR, Site.</w:t>
      </w:r>
    </w:p>
    <w:p w14:paraId="772B954B" w14:textId="77777777" w:rsidR="00710869" w:rsidRDefault="00000000">
      <w:pPr>
        <w:pStyle w:val="Body"/>
      </w:pPr>
      <w:r>
        <w:t>- Supply‑chain availability (PV hardware, HVO certificates, electrified/hybrid cranage): pre‑qualify suppliers, dual‑source, and embed chain‑of‑custody clauses in crane‑hire orders. Owners: Procurement, Logistics.</w:t>
      </w:r>
    </w:p>
    <w:p w14:paraId="5E0B4E56" w14:textId="77777777" w:rsidR="00710869" w:rsidRDefault="00000000">
      <w:pPr>
        <w:pStyle w:val="Body"/>
      </w:pPr>
      <w:r>
        <w:t>- Capital constraints (PV, sub‑metering, chargers): phase deployments and bundle efficiency with PV to improve £/tCO₂e cases; gate approvals via CSG/Board. Owners: Facilities, CSG/Board.</w:t>
      </w:r>
    </w:p>
    <w:p w14:paraId="72C92F40" w14:textId="77777777" w:rsidR="00710869" w:rsidRDefault="00000000">
      <w:pPr>
        <w:pStyle w:val="Body"/>
      </w:pPr>
      <w:r>
        <w:t>- Operational variability (throughput, shift patterns): track intensity (kgCO₂e/module; kgCO₂e/m²) alongside absolutes and explain variances each quarter. Owners: Sustainability, Production.</w:t>
      </w:r>
    </w:p>
    <w:p w14:paraId="2B26ADAD" w14:textId="77777777" w:rsidR="00710869" w:rsidRDefault="00000000">
      <w:pPr>
        <w:pStyle w:val="Body"/>
      </w:pPr>
      <w:r>
        <w:t>- Methodological/EF updates (DEFRA/BEIS, market‑based electricity): apply the baseline recalculation policy with pre/post snapshots and controlled reissue of public CRP. Owners: Sustainability, Compliance.</w:t>
      </w:r>
    </w:p>
    <w:p w14:paraId="05E19068" w14:textId="77777777" w:rsidR="00710869" w:rsidRDefault="00000000">
      <w:pPr>
        <w:pStyle w:val="Body"/>
      </w:pPr>
      <w:r>
        <w:t>- Behavioural adoption (car‑share, idle‑load SOPs, sequencing): run briefings/toolbox talks, visible dashboards, and recognition; audit compliance via spot‑checks. Owners: HR, Production/Site.</w:t>
      </w:r>
    </w:p>
    <w:p w14:paraId="396D8EFE" w14:textId="77777777" w:rsidR="00710869" w:rsidRDefault="00000000">
      <w:pPr>
        <w:pStyle w:val="Body"/>
      </w:pPr>
      <w:r>
        <w:t>- Assurance capacity &amp; evidence trail: scope external assurance early; enforce naming/retention rules (“YYYY‑MM_Source_ProjectOrSite_Category_vX”). Owners: Compliance, Sustainability.</w:t>
      </w:r>
    </w:p>
    <w:p w14:paraId="3B137C5E" w14:textId="77777777" w:rsidR="00710869" w:rsidRDefault="00710869">
      <w:pPr>
        <w:pStyle w:val="Body"/>
      </w:pPr>
    </w:p>
    <w:p w14:paraId="7596F0AC" w14:textId="77777777" w:rsidR="00710869" w:rsidRDefault="00000000">
      <w:pPr>
        <w:pStyle w:val="Body"/>
      </w:pPr>
      <w:r>
        <w:t>Opportunities.</w:t>
      </w:r>
    </w:p>
    <w:p w14:paraId="3A9BDE1C" w14:textId="77777777" w:rsidR="00710869" w:rsidRDefault="00000000">
      <w:pPr>
        <w:pStyle w:val="Body"/>
      </w:pPr>
      <w:r>
        <w:lastRenderedPageBreak/>
        <w:t>PV + EV synergy (lower Scope 2 and commuting), A4 logistics optimisation (payload/backhaul, Euro class), higher EPD coverage/recycled content, strengthened DfD/Module D evidence, and digital dashboards/registers that shorten decisions and improve auditability. These are prioritised in the annual plan and monitored via the monthly dashboard and quarterly CSG reviews.</w:t>
      </w:r>
    </w:p>
    <w:p w14:paraId="328460CC" w14:textId="77777777" w:rsidR="00710869" w:rsidRDefault="00710869"/>
    <w:p w14:paraId="1B82346C" w14:textId="77777777" w:rsidR="00710869" w:rsidRDefault="00000000">
      <w:pPr>
        <w:pStyle w:val="Heading1"/>
      </w:pPr>
      <w:r>
        <w:t>13) Appendices &amp; Evidence (Controlled Annexes)</w:t>
      </w:r>
    </w:p>
    <w:p w14:paraId="4823B400" w14:textId="77777777" w:rsidR="00710869" w:rsidRDefault="00000000">
      <w:pPr>
        <w:pStyle w:val="Body"/>
      </w:pPr>
      <w:r>
        <w:t>Emodula maintains controlled annexes that hold auditable evidence and detailed reference material underpinning this Framework. Annex content is versioned, coded, and issued under EMO‑GOV‑PRO‑001; superseded files are archived and stamped “SUPERSEDED – DO NOT USE.” Primary annexes include: Appendix A – Emission Factors catalogue (publisher, region, vintage, notes) drawn from EF_Sources; Appendix B – Corporate baseline tables (Scopes 2 + selected Scope 3) with status/confidence and links to bills, meter/PV exports; Appendix C – Project WLC summary (A–C totals; Module D disclosed separately) with assumptions and evidence; Appendix D – Data_Register snapshot and evidence list (surveys, parking/charging logs, hire sheets, fuel certificates); Appendix E – Governance and publication workflow (roles, approvals, assurance). Public CRP and client packs point to these annexes while keeping corporate totals distinct from project WLC reporting; pre/post snapshots are retained when baselines or methods change. Access and retention follow controlled naming conventions for audit readiness, always.</w:t>
      </w:r>
    </w:p>
    <w:p w14:paraId="20DDCB18" w14:textId="77777777" w:rsidR="00710869" w:rsidRDefault="00710869"/>
    <w:p w14:paraId="7F4A9F0B" w14:textId="77777777" w:rsidR="00227827" w:rsidRDefault="00227827"/>
    <w:p w14:paraId="470FEF2C" w14:textId="77777777" w:rsidR="00227827" w:rsidRDefault="00227827"/>
    <w:p w14:paraId="33F82453" w14:textId="77777777" w:rsidR="00227827" w:rsidRDefault="00227827"/>
    <w:p w14:paraId="108F6BB9" w14:textId="77777777" w:rsidR="00227827" w:rsidRDefault="00227827"/>
    <w:p w14:paraId="341BA058" w14:textId="77777777" w:rsidR="00227827" w:rsidRDefault="00227827"/>
    <w:p w14:paraId="00D5EFB8" w14:textId="77777777" w:rsidR="00227827" w:rsidRDefault="00227827"/>
    <w:p w14:paraId="5CE937B4" w14:textId="77777777" w:rsidR="00227827" w:rsidRDefault="00227827"/>
    <w:p w14:paraId="0D557B09" w14:textId="77777777" w:rsidR="00227827" w:rsidRDefault="00227827"/>
    <w:p w14:paraId="6020473A" w14:textId="77777777" w:rsidR="00227827" w:rsidRDefault="00227827"/>
    <w:p w14:paraId="6D584542" w14:textId="77777777" w:rsidR="00227827" w:rsidRDefault="00227827"/>
    <w:p w14:paraId="588736F0" w14:textId="77777777" w:rsidR="00227827" w:rsidRDefault="00227827"/>
    <w:p w14:paraId="5E1B8012" w14:textId="77777777" w:rsidR="00227827" w:rsidRDefault="00227827"/>
    <w:p w14:paraId="7097EBC9" w14:textId="77777777" w:rsidR="00227827" w:rsidRDefault="00227827"/>
    <w:p w14:paraId="43B03302" w14:textId="77777777" w:rsidR="00227827" w:rsidRDefault="00227827"/>
    <w:p w14:paraId="2A168AA7" w14:textId="77777777" w:rsidR="00227827" w:rsidRDefault="00227827"/>
    <w:p w14:paraId="39390F1F" w14:textId="17D35780" w:rsidR="00227827" w:rsidRDefault="00227827">
      <w:r>
        <w:t>Audit Comments</w:t>
      </w:r>
    </w:p>
    <w:p w14:paraId="57A4C57D" w14:textId="77777777" w:rsidR="00227827" w:rsidRDefault="00227827"/>
    <w:p w14:paraId="398C1297" w14:textId="77777777" w:rsidR="00227827" w:rsidRPr="00227827" w:rsidRDefault="00227827" w:rsidP="00227827">
      <w:pPr>
        <w:rPr>
          <w:b/>
          <w:bCs/>
          <w:lang w:val="en-GB"/>
        </w:rPr>
      </w:pPr>
      <w:r w:rsidRPr="00227827">
        <w:rPr>
          <w:b/>
          <w:bCs/>
          <w:lang w:val="en-GB"/>
        </w:rPr>
        <w:t>A. Mandatory Format &amp; Style Requirements</w:t>
      </w:r>
    </w:p>
    <w:p w14:paraId="4DB1F1BD" w14:textId="77777777" w:rsidR="00227827" w:rsidRPr="00227827" w:rsidRDefault="00227827" w:rsidP="00227827">
      <w:pPr>
        <w:rPr>
          <w:lang w:val="en-GB"/>
        </w:rPr>
      </w:pPr>
      <w:r w:rsidRPr="00227827">
        <w:rPr>
          <w:i/>
          <w:iCs/>
          <w:lang w:val="en-GB"/>
        </w:rPr>
        <w:t>(Required to align with EMO-GOV-PRO-001)</w:t>
      </w:r>
    </w:p>
    <w:p w14:paraId="3E93B30E" w14:textId="77777777" w:rsidR="00227827" w:rsidRPr="00227827" w:rsidRDefault="00227827" w:rsidP="00227827">
      <w:pPr>
        <w:rPr>
          <w:lang w:val="en-GB"/>
        </w:rPr>
      </w:pPr>
      <w:r w:rsidRPr="00227827">
        <w:rPr>
          <w:lang w:val="en-GB"/>
        </w:rPr>
        <w:t xml:space="preserve">Apply the same corporate formatting standards as the Carbon Calculation Report, with additional emphasis on </w:t>
      </w:r>
      <w:r w:rsidRPr="00227827">
        <w:rPr>
          <w:b/>
          <w:bCs/>
          <w:lang w:val="en-GB"/>
        </w:rPr>
        <w:t>brevity and clarity</w:t>
      </w:r>
      <w:r w:rsidRPr="00227827">
        <w:rPr>
          <w:lang w:val="en-GB"/>
        </w:rPr>
        <w:t>.</w:t>
      </w:r>
    </w:p>
    <w:p w14:paraId="4349004B" w14:textId="77777777" w:rsidR="00227827" w:rsidRPr="00227827" w:rsidRDefault="00227827" w:rsidP="00227827">
      <w:pPr>
        <w:rPr>
          <w:lang w:val="en-GB"/>
        </w:rPr>
      </w:pPr>
      <w:r w:rsidRPr="00227827">
        <w:rPr>
          <w:lang w:val="en-GB"/>
        </w:rPr>
        <w:pict w14:anchorId="3852831D">
          <v:rect id="_x0000_i1043" style="width:0;height:1.5pt" o:hralign="center" o:hrstd="t" o:hr="t" fillcolor="#a0a0a0" stroked="f"/>
        </w:pict>
      </w:r>
    </w:p>
    <w:p w14:paraId="629D1FC6" w14:textId="77777777" w:rsidR="00227827" w:rsidRPr="00227827" w:rsidRDefault="00227827" w:rsidP="00227827">
      <w:pPr>
        <w:rPr>
          <w:b/>
          <w:bCs/>
          <w:lang w:val="en-GB"/>
        </w:rPr>
      </w:pPr>
      <w:r w:rsidRPr="00227827">
        <w:rPr>
          <w:b/>
          <w:bCs/>
          <w:lang w:val="en-GB"/>
        </w:rPr>
        <w:t>B. Presentation &amp; Structural Changes Required</w:t>
      </w:r>
    </w:p>
    <w:p w14:paraId="40D8E9AA" w14:textId="77777777" w:rsidR="00227827" w:rsidRPr="00227827" w:rsidRDefault="00227827" w:rsidP="00227827">
      <w:pPr>
        <w:rPr>
          <w:b/>
          <w:bCs/>
          <w:lang w:val="en-GB"/>
        </w:rPr>
      </w:pPr>
      <w:r w:rsidRPr="00227827">
        <w:rPr>
          <w:b/>
          <w:bCs/>
          <w:lang w:val="en-GB"/>
        </w:rPr>
        <w:t>1. Reduce length and sharpen policy tone</w:t>
      </w:r>
    </w:p>
    <w:p w14:paraId="5C88E676" w14:textId="77777777" w:rsidR="00227827" w:rsidRPr="00227827" w:rsidRDefault="00227827" w:rsidP="00227827">
      <w:pPr>
        <w:numPr>
          <w:ilvl w:val="0"/>
          <w:numId w:val="10"/>
        </w:numPr>
        <w:rPr>
          <w:lang w:val="en-GB"/>
        </w:rPr>
      </w:pPr>
      <w:r w:rsidRPr="00227827">
        <w:rPr>
          <w:lang w:val="en-GB"/>
        </w:rPr>
        <w:t xml:space="preserve">This document must function as a </w:t>
      </w:r>
      <w:r w:rsidRPr="00227827">
        <w:rPr>
          <w:b/>
          <w:bCs/>
          <w:lang w:val="en-GB"/>
        </w:rPr>
        <w:t>policy</w:t>
      </w:r>
      <w:r w:rsidRPr="00227827">
        <w:rPr>
          <w:lang w:val="en-GB"/>
        </w:rPr>
        <w:t>, not a strategy or plan.</w:t>
      </w:r>
    </w:p>
    <w:p w14:paraId="0AFE368E" w14:textId="77777777" w:rsidR="00227827" w:rsidRPr="00227827" w:rsidRDefault="00227827" w:rsidP="00227827">
      <w:pPr>
        <w:numPr>
          <w:ilvl w:val="0"/>
          <w:numId w:val="10"/>
        </w:numPr>
        <w:rPr>
          <w:lang w:val="en-GB"/>
        </w:rPr>
      </w:pPr>
      <w:r w:rsidRPr="00227827">
        <w:rPr>
          <w:lang w:val="en-GB"/>
        </w:rPr>
        <w:t xml:space="preserve">Limit total length to </w:t>
      </w:r>
      <w:r w:rsidRPr="00227827">
        <w:rPr>
          <w:b/>
          <w:bCs/>
          <w:lang w:val="en-GB"/>
        </w:rPr>
        <w:t>2–3 pages</w:t>
      </w:r>
      <w:r w:rsidRPr="00227827">
        <w:rPr>
          <w:lang w:val="en-GB"/>
        </w:rPr>
        <w:t>.</w:t>
      </w:r>
    </w:p>
    <w:p w14:paraId="557F9876" w14:textId="77777777" w:rsidR="00227827" w:rsidRPr="00227827" w:rsidRDefault="00227827" w:rsidP="00227827">
      <w:pPr>
        <w:numPr>
          <w:ilvl w:val="0"/>
          <w:numId w:val="10"/>
        </w:numPr>
        <w:rPr>
          <w:lang w:val="en-GB"/>
        </w:rPr>
      </w:pPr>
      <w:r w:rsidRPr="00227827">
        <w:rPr>
          <w:lang w:val="en-GB"/>
        </w:rPr>
        <w:t xml:space="preserve">Replace long narrative sections with </w:t>
      </w:r>
      <w:r w:rsidRPr="00227827">
        <w:rPr>
          <w:b/>
          <w:bCs/>
          <w:lang w:val="en-GB"/>
        </w:rPr>
        <w:t>clear, declarative policy statements</w:t>
      </w:r>
      <w:r w:rsidRPr="00227827">
        <w:rPr>
          <w:lang w:val="en-GB"/>
        </w:rPr>
        <w:t>.</w:t>
      </w:r>
    </w:p>
    <w:p w14:paraId="1B08CD86" w14:textId="77777777" w:rsidR="00227827" w:rsidRPr="00227827" w:rsidRDefault="00227827" w:rsidP="00227827">
      <w:pPr>
        <w:rPr>
          <w:b/>
          <w:bCs/>
          <w:lang w:val="en-GB"/>
        </w:rPr>
      </w:pPr>
      <w:r w:rsidRPr="00227827">
        <w:rPr>
          <w:b/>
          <w:bCs/>
          <w:lang w:val="en-GB"/>
        </w:rPr>
        <w:t>2. Introduce a “Policy Commitments” section</w:t>
      </w:r>
    </w:p>
    <w:p w14:paraId="3BC13B50" w14:textId="77777777" w:rsidR="00227827" w:rsidRPr="00227827" w:rsidRDefault="00227827" w:rsidP="00227827">
      <w:pPr>
        <w:rPr>
          <w:lang w:val="en-GB"/>
        </w:rPr>
      </w:pPr>
      <w:r w:rsidRPr="00227827">
        <w:rPr>
          <w:lang w:val="en-GB"/>
        </w:rPr>
        <w:t>Add a boxed section setting out:</w:t>
      </w:r>
    </w:p>
    <w:p w14:paraId="7F0D3749" w14:textId="77777777" w:rsidR="00227827" w:rsidRPr="00227827" w:rsidRDefault="00227827" w:rsidP="00227827">
      <w:pPr>
        <w:numPr>
          <w:ilvl w:val="0"/>
          <w:numId w:val="11"/>
        </w:numPr>
        <w:rPr>
          <w:lang w:val="en-GB"/>
        </w:rPr>
      </w:pPr>
      <w:r w:rsidRPr="00227827">
        <w:rPr>
          <w:lang w:val="en-GB"/>
        </w:rPr>
        <w:t>Net Zero target year (2050)</w:t>
      </w:r>
    </w:p>
    <w:p w14:paraId="390EF9CF" w14:textId="77777777" w:rsidR="00227827" w:rsidRPr="00227827" w:rsidRDefault="00227827" w:rsidP="00227827">
      <w:pPr>
        <w:numPr>
          <w:ilvl w:val="0"/>
          <w:numId w:val="11"/>
        </w:numPr>
        <w:rPr>
          <w:lang w:val="en-GB"/>
        </w:rPr>
      </w:pPr>
      <w:r w:rsidRPr="00227827">
        <w:rPr>
          <w:lang w:val="en-GB"/>
        </w:rPr>
        <w:t>Scopes covered</w:t>
      </w:r>
    </w:p>
    <w:p w14:paraId="0E9251A5" w14:textId="77777777" w:rsidR="00227827" w:rsidRPr="00227827" w:rsidRDefault="00227827" w:rsidP="00227827">
      <w:pPr>
        <w:numPr>
          <w:ilvl w:val="0"/>
          <w:numId w:val="11"/>
        </w:numPr>
        <w:rPr>
          <w:lang w:val="en-GB"/>
        </w:rPr>
      </w:pPr>
      <w:r w:rsidRPr="00227827">
        <w:rPr>
          <w:lang w:val="en-GB"/>
        </w:rPr>
        <w:t>Reporting standards used</w:t>
      </w:r>
    </w:p>
    <w:p w14:paraId="1E52D972" w14:textId="77777777" w:rsidR="00227827" w:rsidRPr="00227827" w:rsidRDefault="00227827" w:rsidP="00227827">
      <w:pPr>
        <w:numPr>
          <w:ilvl w:val="0"/>
          <w:numId w:val="11"/>
        </w:numPr>
        <w:rPr>
          <w:lang w:val="en-GB"/>
        </w:rPr>
      </w:pPr>
      <w:r w:rsidRPr="00227827">
        <w:rPr>
          <w:lang w:val="en-GB"/>
        </w:rPr>
        <w:t>Principle of corporate vs project-level separation</w:t>
      </w:r>
    </w:p>
    <w:p w14:paraId="6B6CAE39" w14:textId="77777777" w:rsidR="00227827" w:rsidRPr="00227827" w:rsidRDefault="00227827" w:rsidP="00227827">
      <w:pPr>
        <w:numPr>
          <w:ilvl w:val="0"/>
          <w:numId w:val="11"/>
        </w:numPr>
        <w:rPr>
          <w:lang w:val="en-GB"/>
        </w:rPr>
      </w:pPr>
      <w:r w:rsidRPr="00227827">
        <w:rPr>
          <w:lang w:val="en-GB"/>
        </w:rPr>
        <w:t>Rules governing residual neutrality and offsets</w:t>
      </w:r>
    </w:p>
    <w:p w14:paraId="4364A94F" w14:textId="77777777" w:rsidR="00227827" w:rsidRPr="00227827" w:rsidRDefault="00227827" w:rsidP="00227827">
      <w:pPr>
        <w:rPr>
          <w:b/>
          <w:bCs/>
          <w:lang w:val="en-GB"/>
        </w:rPr>
      </w:pPr>
      <w:r w:rsidRPr="00227827">
        <w:rPr>
          <w:b/>
          <w:bCs/>
          <w:lang w:val="en-GB"/>
        </w:rPr>
        <w:t>3. Governance clarity</w:t>
      </w:r>
    </w:p>
    <w:p w14:paraId="07C0050F" w14:textId="77777777" w:rsidR="00227827" w:rsidRPr="00227827" w:rsidRDefault="00227827" w:rsidP="00227827">
      <w:pPr>
        <w:numPr>
          <w:ilvl w:val="0"/>
          <w:numId w:val="12"/>
        </w:numPr>
        <w:rPr>
          <w:lang w:val="en-GB"/>
        </w:rPr>
      </w:pPr>
      <w:r w:rsidRPr="00227827">
        <w:rPr>
          <w:lang w:val="en-GB"/>
        </w:rPr>
        <w:t>Add a concise governance table or diagram showing:</w:t>
      </w:r>
    </w:p>
    <w:p w14:paraId="6C8EBD41" w14:textId="77777777" w:rsidR="00227827" w:rsidRPr="00227827" w:rsidRDefault="00227827" w:rsidP="00227827">
      <w:pPr>
        <w:numPr>
          <w:ilvl w:val="1"/>
          <w:numId w:val="12"/>
        </w:numPr>
        <w:rPr>
          <w:lang w:val="en-GB"/>
        </w:rPr>
      </w:pPr>
      <w:r w:rsidRPr="00227827">
        <w:rPr>
          <w:lang w:val="en-GB"/>
        </w:rPr>
        <w:t>Board accountability</w:t>
      </w:r>
    </w:p>
    <w:p w14:paraId="3AFF5848" w14:textId="77777777" w:rsidR="00227827" w:rsidRPr="00227827" w:rsidRDefault="00227827" w:rsidP="00227827">
      <w:pPr>
        <w:numPr>
          <w:ilvl w:val="1"/>
          <w:numId w:val="12"/>
        </w:numPr>
        <w:rPr>
          <w:lang w:val="en-GB"/>
        </w:rPr>
      </w:pPr>
      <w:r w:rsidRPr="00227827">
        <w:rPr>
          <w:lang w:val="en-GB"/>
        </w:rPr>
        <w:t>Carbon Steering Group</w:t>
      </w:r>
    </w:p>
    <w:p w14:paraId="70EA8AC2" w14:textId="77777777" w:rsidR="00227827" w:rsidRPr="00227827" w:rsidRDefault="00227827" w:rsidP="00227827">
      <w:pPr>
        <w:numPr>
          <w:ilvl w:val="1"/>
          <w:numId w:val="12"/>
        </w:numPr>
        <w:rPr>
          <w:lang w:val="en-GB"/>
        </w:rPr>
      </w:pPr>
      <w:r w:rsidRPr="00227827">
        <w:rPr>
          <w:lang w:val="en-GB"/>
        </w:rPr>
        <w:t>Sustainability Lead</w:t>
      </w:r>
    </w:p>
    <w:p w14:paraId="70DA350D" w14:textId="77777777" w:rsidR="00227827" w:rsidRPr="00227827" w:rsidRDefault="00227827" w:rsidP="00227827">
      <w:pPr>
        <w:numPr>
          <w:ilvl w:val="1"/>
          <w:numId w:val="12"/>
        </w:numPr>
        <w:rPr>
          <w:lang w:val="en-GB"/>
        </w:rPr>
      </w:pPr>
      <w:r w:rsidRPr="00227827">
        <w:rPr>
          <w:lang w:val="en-GB"/>
        </w:rPr>
        <w:t>Compliance / Document Control role</w:t>
      </w:r>
    </w:p>
    <w:p w14:paraId="7E32283C" w14:textId="77777777" w:rsidR="00227827" w:rsidRPr="00227827" w:rsidRDefault="00227827" w:rsidP="00227827">
      <w:pPr>
        <w:numPr>
          <w:ilvl w:val="0"/>
          <w:numId w:val="12"/>
        </w:numPr>
        <w:rPr>
          <w:lang w:val="en-GB"/>
        </w:rPr>
      </w:pPr>
      <w:r w:rsidRPr="00227827">
        <w:rPr>
          <w:lang w:val="en-GB"/>
        </w:rPr>
        <w:t>Avoid embedding governance detail within narrative text.</w:t>
      </w:r>
    </w:p>
    <w:p w14:paraId="653E7104" w14:textId="77777777" w:rsidR="00227827" w:rsidRPr="00227827" w:rsidRDefault="00227827" w:rsidP="00227827">
      <w:pPr>
        <w:rPr>
          <w:b/>
          <w:bCs/>
          <w:lang w:val="en-GB"/>
        </w:rPr>
      </w:pPr>
      <w:r w:rsidRPr="00227827">
        <w:rPr>
          <w:b/>
          <w:bCs/>
          <w:lang w:val="en-GB"/>
        </w:rPr>
        <w:t>4. Remove delivery detail</w:t>
      </w:r>
    </w:p>
    <w:p w14:paraId="2782A3F6" w14:textId="77777777" w:rsidR="00227827" w:rsidRPr="00227827" w:rsidRDefault="00227827" w:rsidP="00227827">
      <w:pPr>
        <w:numPr>
          <w:ilvl w:val="0"/>
          <w:numId w:val="13"/>
        </w:numPr>
        <w:rPr>
          <w:lang w:val="en-GB"/>
        </w:rPr>
      </w:pPr>
      <w:r w:rsidRPr="00227827">
        <w:rPr>
          <w:lang w:val="en-GB"/>
        </w:rPr>
        <w:lastRenderedPageBreak/>
        <w:t>KPIs, measures, pathways, and targets beyond high-level commitments must be removed.</w:t>
      </w:r>
    </w:p>
    <w:p w14:paraId="59D8D15C" w14:textId="77777777" w:rsidR="00227827" w:rsidRPr="00227827" w:rsidRDefault="00227827" w:rsidP="00227827">
      <w:pPr>
        <w:numPr>
          <w:ilvl w:val="0"/>
          <w:numId w:val="13"/>
        </w:numPr>
        <w:rPr>
          <w:lang w:val="en-GB"/>
        </w:rPr>
      </w:pPr>
      <w:r w:rsidRPr="00227827">
        <w:rPr>
          <w:lang w:val="en-GB"/>
        </w:rPr>
        <w:t>These belong in:</w:t>
      </w:r>
    </w:p>
    <w:p w14:paraId="6DE48AB7" w14:textId="77777777" w:rsidR="00227827" w:rsidRPr="00227827" w:rsidRDefault="00227827" w:rsidP="00227827">
      <w:pPr>
        <w:numPr>
          <w:ilvl w:val="1"/>
          <w:numId w:val="13"/>
        </w:numPr>
        <w:rPr>
          <w:lang w:val="en-GB"/>
        </w:rPr>
      </w:pPr>
      <w:r w:rsidRPr="00227827">
        <w:rPr>
          <w:lang w:val="en-GB"/>
        </w:rPr>
        <w:t>Sustainability Strategy</w:t>
      </w:r>
    </w:p>
    <w:p w14:paraId="73AA7594" w14:textId="77777777" w:rsidR="00227827" w:rsidRPr="00227827" w:rsidRDefault="00227827" w:rsidP="00227827">
      <w:pPr>
        <w:numPr>
          <w:ilvl w:val="1"/>
          <w:numId w:val="13"/>
        </w:numPr>
        <w:rPr>
          <w:lang w:val="en-GB"/>
        </w:rPr>
      </w:pPr>
      <w:r w:rsidRPr="00227827">
        <w:rPr>
          <w:lang w:val="en-GB"/>
        </w:rPr>
        <w:t>Carbon Reduction Plan</w:t>
      </w:r>
    </w:p>
    <w:p w14:paraId="6D6DAC91" w14:textId="77777777" w:rsidR="00227827" w:rsidRPr="00227827" w:rsidRDefault="00227827" w:rsidP="00227827">
      <w:pPr>
        <w:rPr>
          <w:lang w:val="en-GB"/>
        </w:rPr>
      </w:pPr>
      <w:r w:rsidRPr="00227827">
        <w:rPr>
          <w:lang w:val="en-GB"/>
        </w:rPr>
        <w:pict w14:anchorId="507CC03B">
          <v:rect id="_x0000_i1044" style="width:0;height:1.5pt" o:hralign="center" o:hrstd="t" o:hr="t" fillcolor="#a0a0a0" stroked="f"/>
        </w:pict>
      </w:r>
    </w:p>
    <w:p w14:paraId="238235FB" w14:textId="77777777" w:rsidR="00227827" w:rsidRPr="00227827" w:rsidRDefault="00227827" w:rsidP="00227827">
      <w:pPr>
        <w:rPr>
          <w:b/>
          <w:bCs/>
          <w:lang w:val="en-GB"/>
        </w:rPr>
      </w:pPr>
      <w:r w:rsidRPr="00227827">
        <w:rPr>
          <w:b/>
          <w:bCs/>
          <w:lang w:val="en-GB"/>
        </w:rPr>
        <w:t>C. Missing or Incomplete Information (Critical)</w:t>
      </w:r>
    </w:p>
    <w:p w14:paraId="555DA909" w14:textId="77777777" w:rsidR="00227827" w:rsidRPr="00227827" w:rsidRDefault="00227827" w:rsidP="00227827">
      <w:pPr>
        <w:rPr>
          <w:lang w:val="en-GB"/>
        </w:rPr>
      </w:pPr>
      <w:r w:rsidRPr="00227827">
        <w:rPr>
          <w:lang w:val="en-GB"/>
        </w:rPr>
        <w:t xml:space="preserve">The following fields are currently incomplete and </w:t>
      </w:r>
      <w:r w:rsidRPr="00227827">
        <w:rPr>
          <w:b/>
          <w:bCs/>
          <w:lang w:val="en-GB"/>
        </w:rPr>
        <w:t>must be populated before issue</w:t>
      </w:r>
      <w:r w:rsidRPr="00227827">
        <w:rPr>
          <w:lang w:val="en-GB"/>
        </w:rPr>
        <w:t>:</w:t>
      </w:r>
    </w:p>
    <w:p w14:paraId="052AA9B8" w14:textId="77777777" w:rsidR="00227827" w:rsidRPr="00227827" w:rsidRDefault="00227827" w:rsidP="00227827">
      <w:pPr>
        <w:numPr>
          <w:ilvl w:val="0"/>
          <w:numId w:val="14"/>
        </w:numPr>
        <w:rPr>
          <w:lang w:val="en-GB"/>
        </w:rPr>
      </w:pPr>
      <w:r w:rsidRPr="00227827">
        <w:rPr>
          <w:lang w:val="en-GB"/>
        </w:rPr>
        <w:t>Document Code</w:t>
      </w:r>
    </w:p>
    <w:p w14:paraId="50BDBD74" w14:textId="77777777" w:rsidR="00227827" w:rsidRPr="00227827" w:rsidRDefault="00227827" w:rsidP="00227827">
      <w:pPr>
        <w:numPr>
          <w:ilvl w:val="0"/>
          <w:numId w:val="14"/>
        </w:numPr>
        <w:rPr>
          <w:lang w:val="en-GB"/>
        </w:rPr>
      </w:pPr>
      <w:r w:rsidRPr="00227827">
        <w:rPr>
          <w:lang w:val="en-GB"/>
        </w:rPr>
        <w:t>Version / Status</w:t>
      </w:r>
    </w:p>
    <w:p w14:paraId="1A19DB2B" w14:textId="77777777" w:rsidR="00227827" w:rsidRPr="00227827" w:rsidRDefault="00227827" w:rsidP="00227827">
      <w:pPr>
        <w:numPr>
          <w:ilvl w:val="0"/>
          <w:numId w:val="14"/>
        </w:numPr>
        <w:rPr>
          <w:lang w:val="en-GB"/>
        </w:rPr>
      </w:pPr>
      <w:r w:rsidRPr="00227827">
        <w:rPr>
          <w:lang w:val="en-GB"/>
        </w:rPr>
        <w:t>Issue date</w:t>
      </w:r>
    </w:p>
    <w:p w14:paraId="6CF9B3CB" w14:textId="77777777" w:rsidR="00227827" w:rsidRPr="00227827" w:rsidRDefault="00227827" w:rsidP="00227827">
      <w:pPr>
        <w:numPr>
          <w:ilvl w:val="0"/>
          <w:numId w:val="14"/>
        </w:numPr>
        <w:rPr>
          <w:lang w:val="en-GB"/>
        </w:rPr>
      </w:pPr>
      <w:r w:rsidRPr="00227827">
        <w:rPr>
          <w:lang w:val="en-GB"/>
        </w:rPr>
        <w:t>Prepared by / Reviewed by / Approved by</w:t>
      </w:r>
    </w:p>
    <w:p w14:paraId="42737545" w14:textId="77777777" w:rsidR="00227827" w:rsidRPr="00227827" w:rsidRDefault="00227827" w:rsidP="00227827">
      <w:pPr>
        <w:numPr>
          <w:ilvl w:val="0"/>
          <w:numId w:val="14"/>
        </w:numPr>
        <w:rPr>
          <w:lang w:val="en-GB"/>
        </w:rPr>
      </w:pPr>
      <w:r w:rsidRPr="00227827">
        <w:rPr>
          <w:lang w:val="en-GB"/>
        </w:rPr>
        <w:t>Revision history</w:t>
      </w:r>
    </w:p>
    <w:p w14:paraId="6266C217" w14:textId="77777777" w:rsidR="00227827" w:rsidRPr="00227827" w:rsidRDefault="00227827" w:rsidP="00227827">
      <w:pPr>
        <w:numPr>
          <w:ilvl w:val="0"/>
          <w:numId w:val="14"/>
        </w:numPr>
        <w:rPr>
          <w:lang w:val="en-GB"/>
        </w:rPr>
      </w:pPr>
      <w:r w:rsidRPr="00227827">
        <w:rPr>
          <w:lang w:val="en-GB"/>
        </w:rPr>
        <w:t>Formal approval / signature statement</w:t>
      </w:r>
    </w:p>
    <w:p w14:paraId="1B30C705" w14:textId="77777777" w:rsidR="00227827" w:rsidRPr="00227827" w:rsidRDefault="00227827" w:rsidP="00227827">
      <w:pPr>
        <w:rPr>
          <w:lang w:val="en-GB"/>
        </w:rPr>
      </w:pPr>
      <w:r w:rsidRPr="00227827">
        <w:rPr>
          <w:lang w:val="en-GB"/>
        </w:rPr>
        <w:pict w14:anchorId="5CE78953">
          <v:rect id="_x0000_i1045" style="width:0;height:1.5pt" o:hralign="center" o:hrstd="t" o:hr="t" fillcolor="#a0a0a0" stroked="f"/>
        </w:pict>
      </w:r>
    </w:p>
    <w:p w14:paraId="394FDC6A" w14:textId="77777777" w:rsidR="00227827" w:rsidRPr="00227827" w:rsidRDefault="00227827" w:rsidP="00227827">
      <w:pPr>
        <w:rPr>
          <w:b/>
          <w:bCs/>
          <w:lang w:val="en-GB"/>
        </w:rPr>
      </w:pPr>
      <w:r w:rsidRPr="00227827">
        <w:rPr>
          <w:b/>
          <w:bCs/>
          <w:lang w:val="en-GB"/>
        </w:rPr>
        <w:t>D. Alignment &amp; Cohesion Requirements</w:t>
      </w:r>
    </w:p>
    <w:p w14:paraId="47C7A0EE" w14:textId="77777777" w:rsidR="00227827" w:rsidRPr="00227827" w:rsidRDefault="00227827" w:rsidP="00227827">
      <w:pPr>
        <w:numPr>
          <w:ilvl w:val="0"/>
          <w:numId w:val="15"/>
        </w:numPr>
        <w:rPr>
          <w:lang w:val="en-GB"/>
        </w:rPr>
      </w:pPr>
      <w:r w:rsidRPr="00227827">
        <w:rPr>
          <w:lang w:val="en-GB"/>
        </w:rPr>
        <w:t xml:space="preserve">This document sits at the </w:t>
      </w:r>
      <w:r w:rsidRPr="00227827">
        <w:rPr>
          <w:b/>
          <w:bCs/>
          <w:lang w:val="en-GB"/>
        </w:rPr>
        <w:t>top of the ESG hierarchy</w:t>
      </w:r>
      <w:r w:rsidRPr="00227827">
        <w:rPr>
          <w:lang w:val="en-GB"/>
        </w:rPr>
        <w:t>.</w:t>
      </w:r>
    </w:p>
    <w:p w14:paraId="50759CCE" w14:textId="77777777" w:rsidR="00227827" w:rsidRPr="00227827" w:rsidRDefault="00227827" w:rsidP="00227827">
      <w:pPr>
        <w:numPr>
          <w:ilvl w:val="0"/>
          <w:numId w:val="15"/>
        </w:numPr>
        <w:rPr>
          <w:lang w:val="en-GB"/>
        </w:rPr>
      </w:pPr>
      <w:r w:rsidRPr="00227827">
        <w:rPr>
          <w:lang w:val="en-GB"/>
        </w:rPr>
        <w:t xml:space="preserve">Language, boundaries, and definitions used here </w:t>
      </w:r>
      <w:r w:rsidRPr="00227827">
        <w:rPr>
          <w:b/>
          <w:bCs/>
          <w:lang w:val="en-GB"/>
        </w:rPr>
        <w:t>must be mirrored exactly</w:t>
      </w:r>
      <w:r w:rsidRPr="00227827">
        <w:rPr>
          <w:lang w:val="en-GB"/>
        </w:rPr>
        <w:t xml:space="preserve"> in:</w:t>
      </w:r>
    </w:p>
    <w:p w14:paraId="4B0D7C94" w14:textId="77777777" w:rsidR="00227827" w:rsidRPr="00227827" w:rsidRDefault="00227827" w:rsidP="00227827">
      <w:pPr>
        <w:numPr>
          <w:ilvl w:val="1"/>
          <w:numId w:val="15"/>
        </w:numPr>
        <w:rPr>
          <w:lang w:val="en-GB"/>
        </w:rPr>
      </w:pPr>
      <w:r w:rsidRPr="00227827">
        <w:rPr>
          <w:lang w:val="en-GB"/>
        </w:rPr>
        <w:t>Sustainability Strategy</w:t>
      </w:r>
    </w:p>
    <w:p w14:paraId="5F710943" w14:textId="77777777" w:rsidR="00227827" w:rsidRPr="00227827" w:rsidRDefault="00227827" w:rsidP="00227827">
      <w:pPr>
        <w:numPr>
          <w:ilvl w:val="1"/>
          <w:numId w:val="15"/>
        </w:numPr>
        <w:rPr>
          <w:lang w:val="en-GB"/>
        </w:rPr>
      </w:pPr>
      <w:r w:rsidRPr="00227827">
        <w:rPr>
          <w:lang w:val="en-GB"/>
        </w:rPr>
        <w:t>Carbon Reduction Plan</w:t>
      </w:r>
    </w:p>
    <w:p w14:paraId="0E7D44D5" w14:textId="77777777" w:rsidR="00227827" w:rsidRPr="00227827" w:rsidRDefault="00227827" w:rsidP="00227827">
      <w:pPr>
        <w:numPr>
          <w:ilvl w:val="1"/>
          <w:numId w:val="15"/>
        </w:numPr>
        <w:rPr>
          <w:lang w:val="en-GB"/>
        </w:rPr>
      </w:pPr>
      <w:r w:rsidRPr="00227827">
        <w:rPr>
          <w:lang w:val="en-GB"/>
        </w:rPr>
        <w:t>Carbon Calculation Report</w:t>
      </w:r>
    </w:p>
    <w:p w14:paraId="19855402" w14:textId="77777777" w:rsidR="00227827" w:rsidRDefault="00227827"/>
    <w:sectPr w:rsidR="00227827" w:rsidSect="00034616">
      <w:headerReference w:type="default" r:id="rId8"/>
      <w:footerReference w:type="default" r:id="rId9"/>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67C30" w14:textId="77777777" w:rsidR="00DA3A1A" w:rsidRDefault="00DA3A1A">
      <w:pPr>
        <w:spacing w:after="0" w:line="240" w:lineRule="auto"/>
      </w:pPr>
      <w:r>
        <w:separator/>
      </w:r>
    </w:p>
  </w:endnote>
  <w:endnote w:type="continuationSeparator" w:id="0">
    <w:p w14:paraId="6F7B0C95" w14:textId="77777777" w:rsidR="00DA3A1A" w:rsidRDefault="00DA3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66366" w14:textId="77777777" w:rsidR="00710869" w:rsidRDefault="00000000">
    <w:pPr>
      <w:pStyle w:val="Footer"/>
      <w:jc w:val="right"/>
    </w:pPr>
    <w:r>
      <w:t xml:space="preserve">Page </w:t>
    </w:r>
    <w:r>
      <w:fldChar w:fldCharType="begin"/>
    </w:r>
    <w:r>
      <w:instrText>PAGE</w:instrText>
    </w:r>
    <w:r>
      <w:fldChar w:fldCharType="separate"/>
    </w:r>
    <w:r w:rsidR="003E2491">
      <w:rPr>
        <w:noProof/>
      </w:rPr>
      <w:t>1</w:t>
    </w:r>
    <w:r>
      <w:fldChar w:fldCharType="end"/>
    </w:r>
    <w:r>
      <w:t xml:space="preserve"> of </w:t>
    </w:r>
    <w:r>
      <w:fldChar w:fldCharType="begin"/>
    </w:r>
    <w:r>
      <w:instrText>NUMPAGES</w:instrText>
    </w:r>
    <w:r>
      <w:fldChar w:fldCharType="separate"/>
    </w:r>
    <w:r w:rsidR="003E249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32685" w14:textId="77777777" w:rsidR="00DA3A1A" w:rsidRDefault="00DA3A1A">
      <w:pPr>
        <w:spacing w:after="0" w:line="240" w:lineRule="auto"/>
      </w:pPr>
      <w:r>
        <w:separator/>
      </w:r>
    </w:p>
  </w:footnote>
  <w:footnote w:type="continuationSeparator" w:id="0">
    <w:p w14:paraId="11C91742" w14:textId="77777777" w:rsidR="00DA3A1A" w:rsidRDefault="00DA3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590C7" w14:textId="369244C0" w:rsidR="00710869" w:rsidRDefault="00000000">
    <w:pPr>
      <w:pStyle w:val="Header"/>
    </w:pPr>
    <w:r>
      <w:rPr>
        <w:sz w:val="18"/>
      </w:rPr>
      <w:t>Emodula Net Zero 2050 | Doc No.: EMO-GOV-POL-___ | Version: 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48A19F2"/>
    <w:multiLevelType w:val="multilevel"/>
    <w:tmpl w:val="1278C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5E1515"/>
    <w:multiLevelType w:val="multilevel"/>
    <w:tmpl w:val="DACE8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F7204E"/>
    <w:multiLevelType w:val="multilevel"/>
    <w:tmpl w:val="0F70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1B1A5B"/>
    <w:multiLevelType w:val="multilevel"/>
    <w:tmpl w:val="9C5E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353AE2"/>
    <w:multiLevelType w:val="multilevel"/>
    <w:tmpl w:val="4D08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0F6447"/>
    <w:multiLevelType w:val="multilevel"/>
    <w:tmpl w:val="9976A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480115">
    <w:abstractNumId w:val="8"/>
  </w:num>
  <w:num w:numId="2" w16cid:durableId="967006052">
    <w:abstractNumId w:val="6"/>
  </w:num>
  <w:num w:numId="3" w16cid:durableId="924921403">
    <w:abstractNumId w:val="5"/>
  </w:num>
  <w:num w:numId="4" w16cid:durableId="488794518">
    <w:abstractNumId w:val="4"/>
  </w:num>
  <w:num w:numId="5" w16cid:durableId="1605722495">
    <w:abstractNumId w:val="7"/>
  </w:num>
  <w:num w:numId="6" w16cid:durableId="1721635036">
    <w:abstractNumId w:val="3"/>
  </w:num>
  <w:num w:numId="7" w16cid:durableId="908535808">
    <w:abstractNumId w:val="2"/>
  </w:num>
  <w:num w:numId="8" w16cid:durableId="1125005773">
    <w:abstractNumId w:val="1"/>
  </w:num>
  <w:num w:numId="9" w16cid:durableId="845482402">
    <w:abstractNumId w:val="0"/>
  </w:num>
  <w:num w:numId="10" w16cid:durableId="1275212601">
    <w:abstractNumId w:val="13"/>
  </w:num>
  <w:num w:numId="11" w16cid:durableId="2019387307">
    <w:abstractNumId w:val="11"/>
  </w:num>
  <w:num w:numId="12" w16cid:durableId="325281378">
    <w:abstractNumId w:val="10"/>
  </w:num>
  <w:num w:numId="13" w16cid:durableId="2058897428">
    <w:abstractNumId w:val="9"/>
  </w:num>
  <w:num w:numId="14" w16cid:durableId="1734039854">
    <w:abstractNumId w:val="12"/>
  </w:num>
  <w:num w:numId="15" w16cid:durableId="1684525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1F56"/>
    <w:rsid w:val="0006063C"/>
    <w:rsid w:val="0015074B"/>
    <w:rsid w:val="00227827"/>
    <w:rsid w:val="0029639D"/>
    <w:rsid w:val="00326F90"/>
    <w:rsid w:val="003C32BF"/>
    <w:rsid w:val="003E2491"/>
    <w:rsid w:val="00710869"/>
    <w:rsid w:val="007877DB"/>
    <w:rsid w:val="007D03F6"/>
    <w:rsid w:val="007F5776"/>
    <w:rsid w:val="00AA1D8D"/>
    <w:rsid w:val="00B47730"/>
    <w:rsid w:val="00CB0664"/>
    <w:rsid w:val="00DA3A1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8C44C5"/>
  <w14:defaultImageDpi w14:val="300"/>
  <w15:docId w15:val="{9856F934-1927-44A3-B69F-818CF6AE2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
    <w:name w:val="Body"/>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5940</Words>
  <Characters>33862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James Pearson</cp:lastModifiedBy>
  <cp:revision>5</cp:revision>
  <dcterms:created xsi:type="dcterms:W3CDTF">2025-12-27T16:11:00Z</dcterms:created>
  <dcterms:modified xsi:type="dcterms:W3CDTF">2025-12-28T09:29:00Z</dcterms:modified>
  <cp:category/>
</cp:coreProperties>
</file>